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26802" w14:textId="77777777" w:rsidR="00BA526B" w:rsidRDefault="00177BC1" w:rsidP="00180F8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BC1">
        <w:rPr>
          <w:rFonts w:ascii="Arial" w:hAnsi="Arial" w:cs="Arial"/>
          <w:b/>
          <w:sz w:val="28"/>
          <w:szCs w:val="28"/>
        </w:rPr>
        <w:t>Relazione annuale CAF sull'attività</w:t>
      </w:r>
    </w:p>
    <w:p w14:paraId="2EBD0233" w14:textId="77777777" w:rsidR="001B04E0" w:rsidRPr="00177BC1" w:rsidRDefault="0027511B" w:rsidP="00180F8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2024 - 2025</w:t>
      </w:r>
    </w:p>
    <w:p w14:paraId="240A2077" w14:textId="77777777" w:rsidR="00782352" w:rsidRDefault="00782352" w:rsidP="00CD0D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8C4914" w14:textId="1267083C" w:rsidR="0027511B" w:rsidRPr="00893CF0" w:rsidRDefault="00B51E74" w:rsidP="002751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7511B">
        <w:rPr>
          <w:rFonts w:ascii="Arial" w:hAnsi="Arial" w:cs="Arial"/>
          <w:sz w:val="24"/>
          <w:szCs w:val="24"/>
        </w:rPr>
        <w:t xml:space="preserve">Il precedente Consiglio Federale ha </w:t>
      </w:r>
      <w:r w:rsidR="00A75057" w:rsidRPr="00893CF0">
        <w:rPr>
          <w:rFonts w:ascii="Arial" w:hAnsi="Arial" w:cs="Arial"/>
          <w:sz w:val="24"/>
          <w:szCs w:val="24"/>
        </w:rPr>
        <w:t>riservato alla CAF particolare attenzione continuando l’opera di revisione e aggiornamento dei regolamenti del settore. Di notevole rilievo è</w:t>
      </w:r>
      <w:r w:rsidR="00A75057">
        <w:rPr>
          <w:rFonts w:ascii="Arial" w:hAnsi="Arial" w:cs="Arial"/>
          <w:color w:val="FF0000"/>
          <w:sz w:val="24"/>
          <w:szCs w:val="24"/>
        </w:rPr>
        <w:t xml:space="preserve"> </w:t>
      </w:r>
      <w:r w:rsidR="0027511B">
        <w:rPr>
          <w:rFonts w:ascii="Arial" w:hAnsi="Arial" w:cs="Arial"/>
          <w:sz w:val="24"/>
          <w:szCs w:val="24"/>
        </w:rPr>
        <w:t>la nascita dell'Organico Arbitrale</w:t>
      </w:r>
      <w:r w:rsidR="00AC2E68">
        <w:rPr>
          <w:rFonts w:ascii="Arial" w:hAnsi="Arial" w:cs="Arial"/>
          <w:sz w:val="24"/>
          <w:szCs w:val="24"/>
        </w:rPr>
        <w:t xml:space="preserve"> (OA)</w:t>
      </w:r>
      <w:r w:rsidR="00EC7DBB">
        <w:rPr>
          <w:rFonts w:ascii="Arial" w:hAnsi="Arial" w:cs="Arial"/>
          <w:sz w:val="24"/>
          <w:szCs w:val="24"/>
        </w:rPr>
        <w:t>,</w:t>
      </w:r>
      <w:r w:rsidR="0027511B">
        <w:rPr>
          <w:rFonts w:ascii="Arial" w:hAnsi="Arial" w:cs="Arial"/>
          <w:sz w:val="24"/>
          <w:szCs w:val="24"/>
        </w:rPr>
        <w:t xml:space="preserve"> per </w:t>
      </w:r>
      <w:r w:rsidR="0027511B" w:rsidRPr="0027511B">
        <w:rPr>
          <w:rFonts w:ascii="Arial" w:hAnsi="Arial" w:cs="Arial"/>
          <w:sz w:val="24"/>
          <w:szCs w:val="24"/>
        </w:rPr>
        <w:t>assicura</w:t>
      </w:r>
      <w:r w:rsidR="0027511B">
        <w:rPr>
          <w:rFonts w:ascii="Arial" w:hAnsi="Arial" w:cs="Arial"/>
          <w:sz w:val="24"/>
          <w:szCs w:val="24"/>
        </w:rPr>
        <w:t>re</w:t>
      </w:r>
      <w:r w:rsidR="0027511B" w:rsidRPr="0027511B">
        <w:rPr>
          <w:rFonts w:ascii="Arial" w:hAnsi="Arial" w:cs="Arial"/>
          <w:sz w:val="24"/>
          <w:szCs w:val="24"/>
        </w:rPr>
        <w:t xml:space="preserve"> la competenza, la disponibilità </w:t>
      </w:r>
      <w:r w:rsidR="0027511B" w:rsidRPr="00893CF0">
        <w:rPr>
          <w:rFonts w:ascii="Arial" w:hAnsi="Arial" w:cs="Arial"/>
          <w:sz w:val="24"/>
          <w:szCs w:val="24"/>
        </w:rPr>
        <w:t>e la presenza sul territorio di un numero adeguato di Arbitri di ogni livello e qualifica</w:t>
      </w:r>
      <w:r w:rsidR="00A75057" w:rsidRPr="00893CF0">
        <w:rPr>
          <w:rFonts w:ascii="Arial" w:hAnsi="Arial" w:cs="Arial"/>
          <w:sz w:val="24"/>
          <w:szCs w:val="24"/>
        </w:rPr>
        <w:t xml:space="preserve"> per accompagnare la crescita di tesserati, società e manifestazioni sportive</w:t>
      </w:r>
      <w:r w:rsidR="0027511B" w:rsidRPr="00893CF0">
        <w:rPr>
          <w:rFonts w:ascii="Arial" w:hAnsi="Arial" w:cs="Arial"/>
          <w:sz w:val="24"/>
          <w:szCs w:val="24"/>
        </w:rPr>
        <w:t>.</w:t>
      </w:r>
    </w:p>
    <w:p w14:paraId="27DC418F" w14:textId="77777777" w:rsidR="005B17BD" w:rsidRDefault="005B17BD" w:rsidP="002751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Ciò ha comportato un profondo adeguamento del Regolamento del Settore Arbitrale (RSA) e andrò a esporre le principali novità o aggiustamenti.</w:t>
      </w:r>
    </w:p>
    <w:p w14:paraId="47CBD4C1" w14:textId="254F29C5" w:rsidR="00A01DE5" w:rsidRDefault="005B17BD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3CF0">
        <w:rPr>
          <w:rFonts w:ascii="Arial" w:hAnsi="Arial" w:cs="Arial"/>
          <w:sz w:val="24"/>
          <w:szCs w:val="24"/>
        </w:rPr>
        <w:t xml:space="preserve">Si è </w:t>
      </w:r>
      <w:r w:rsidR="00A75057" w:rsidRPr="00893CF0">
        <w:rPr>
          <w:rFonts w:ascii="Arial" w:hAnsi="Arial" w:cs="Arial"/>
          <w:sz w:val="24"/>
          <w:szCs w:val="24"/>
        </w:rPr>
        <w:t xml:space="preserve">confermato </w:t>
      </w:r>
      <w:r w:rsidRPr="00893CF0">
        <w:rPr>
          <w:rFonts w:ascii="Arial" w:hAnsi="Arial" w:cs="Arial"/>
          <w:sz w:val="24"/>
          <w:szCs w:val="24"/>
        </w:rPr>
        <w:t xml:space="preserve">che il Settore Arbitrale (SA) è dotato di autonomia operativa, come stabilito </w:t>
      </w:r>
      <w:r w:rsidRPr="005B17BD">
        <w:rPr>
          <w:rFonts w:ascii="Arial" w:hAnsi="Arial" w:cs="Arial"/>
          <w:sz w:val="24"/>
          <w:szCs w:val="24"/>
        </w:rPr>
        <w:t>dall’art</w:t>
      </w:r>
      <w:r>
        <w:rPr>
          <w:rFonts w:ascii="Arial" w:hAnsi="Arial" w:cs="Arial"/>
          <w:sz w:val="24"/>
          <w:szCs w:val="24"/>
        </w:rPr>
        <w:t>.</w:t>
      </w:r>
      <w:r w:rsidRPr="005B17BD">
        <w:rPr>
          <w:rFonts w:ascii="Arial" w:hAnsi="Arial" w:cs="Arial"/>
          <w:sz w:val="24"/>
          <w:szCs w:val="24"/>
        </w:rPr>
        <w:t xml:space="preserve"> 18 comma 2 del Dlgs 36/2021</w:t>
      </w:r>
      <w:r w:rsidR="00D21B99">
        <w:rPr>
          <w:rFonts w:ascii="Arial" w:hAnsi="Arial" w:cs="Arial"/>
          <w:sz w:val="24"/>
          <w:szCs w:val="24"/>
        </w:rPr>
        <w:t xml:space="preserve"> (la riforma del lavoro sportivo)</w:t>
      </w:r>
      <w:r w:rsidRPr="005B17BD">
        <w:rPr>
          <w:rFonts w:ascii="Arial" w:hAnsi="Arial" w:cs="Arial"/>
          <w:sz w:val="24"/>
          <w:szCs w:val="24"/>
        </w:rPr>
        <w:t>, e agisce nel rispetto e per il perseguimento delle direttive di politica sportiva stabilite dal C</w:t>
      </w:r>
      <w:r>
        <w:rPr>
          <w:rFonts w:ascii="Arial" w:hAnsi="Arial" w:cs="Arial"/>
          <w:sz w:val="24"/>
          <w:szCs w:val="24"/>
        </w:rPr>
        <w:t xml:space="preserve">onsiglio </w:t>
      </w:r>
      <w:r w:rsidRPr="005B17BD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ederale (CF)</w:t>
      </w:r>
      <w:r w:rsidRPr="005B17BD">
        <w:rPr>
          <w:rFonts w:ascii="Arial" w:hAnsi="Arial" w:cs="Arial"/>
          <w:sz w:val="24"/>
          <w:szCs w:val="24"/>
        </w:rPr>
        <w:t>.</w:t>
      </w:r>
    </w:p>
    <w:p w14:paraId="71ADC6BA" w14:textId="77777777" w:rsidR="005B17BD" w:rsidRDefault="00AC2E68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SA è affidata la copertura dell’OA</w:t>
      </w:r>
      <w:r w:rsidRPr="00AC2E68">
        <w:rPr>
          <w:rFonts w:ascii="Arial" w:hAnsi="Arial" w:cs="Arial"/>
          <w:sz w:val="24"/>
          <w:szCs w:val="24"/>
        </w:rPr>
        <w:t xml:space="preserve"> stabilito dal CF con il reclutamento, la formazione e la gestione dei quadri arbitrali federali, nei limiti di quanto previsto dai singoli regolamenti, ferme restando le attribuzioni degli organi di giustizia e del CF.</w:t>
      </w:r>
    </w:p>
    <w:p w14:paraId="32ADCCE0" w14:textId="77777777" w:rsidR="00AC2E68" w:rsidRDefault="00E00B92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specifica che l</w:t>
      </w:r>
      <w:r w:rsidRPr="00E00B92">
        <w:rPr>
          <w:rFonts w:ascii="Arial" w:hAnsi="Arial" w:cs="Arial"/>
          <w:sz w:val="24"/>
          <w:szCs w:val="24"/>
        </w:rPr>
        <w:t>a C</w:t>
      </w:r>
      <w:r>
        <w:rPr>
          <w:rFonts w:ascii="Arial" w:hAnsi="Arial" w:cs="Arial"/>
          <w:sz w:val="24"/>
          <w:szCs w:val="24"/>
        </w:rPr>
        <w:t xml:space="preserve">ommissione </w:t>
      </w:r>
      <w:r w:rsidRPr="00E00B9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rbitrale </w:t>
      </w:r>
      <w:r w:rsidRPr="00E00B92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ederale (CAF)</w:t>
      </w:r>
      <w:r w:rsidRPr="00E00B92">
        <w:rPr>
          <w:rFonts w:ascii="Arial" w:hAnsi="Arial" w:cs="Arial"/>
          <w:sz w:val="24"/>
          <w:szCs w:val="24"/>
        </w:rPr>
        <w:t xml:space="preserve"> ha autonomia operativa e risponde al CF del funzionamento e dell’efficienza del S</w:t>
      </w:r>
      <w:r>
        <w:rPr>
          <w:rFonts w:ascii="Arial" w:hAnsi="Arial" w:cs="Arial"/>
          <w:sz w:val="24"/>
          <w:szCs w:val="24"/>
        </w:rPr>
        <w:t>A</w:t>
      </w:r>
      <w:r w:rsidRPr="00E00B92">
        <w:rPr>
          <w:rFonts w:ascii="Arial" w:hAnsi="Arial" w:cs="Arial"/>
          <w:sz w:val="24"/>
          <w:szCs w:val="24"/>
        </w:rPr>
        <w:t>.</w:t>
      </w:r>
    </w:p>
    <w:p w14:paraId="5099783A" w14:textId="73D68BE0" w:rsidR="00E00B92" w:rsidRPr="00893CF0" w:rsidRDefault="00182690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È stato introdotto un nuovo articolo (il 20 bis), che disciplina i criteri generali di designazione </w:t>
      </w:r>
      <w:r w:rsidRPr="00893CF0">
        <w:rPr>
          <w:rFonts w:ascii="Arial" w:hAnsi="Arial" w:cs="Arial"/>
          <w:sz w:val="24"/>
          <w:szCs w:val="24"/>
        </w:rPr>
        <w:t xml:space="preserve">che, nella formulazione attuale, è il frutto di lunga e ampia </w:t>
      </w:r>
      <w:r w:rsidR="00A75057" w:rsidRPr="00893CF0">
        <w:rPr>
          <w:rFonts w:ascii="Arial" w:hAnsi="Arial" w:cs="Arial"/>
          <w:sz w:val="24"/>
          <w:szCs w:val="24"/>
        </w:rPr>
        <w:t xml:space="preserve">riflessione e dibattito </w:t>
      </w:r>
      <w:r w:rsidRPr="00893CF0">
        <w:rPr>
          <w:rFonts w:ascii="Arial" w:hAnsi="Arial" w:cs="Arial"/>
          <w:sz w:val="24"/>
          <w:szCs w:val="24"/>
        </w:rPr>
        <w:t>con la dirigenza federale. A supporto di questa affermazione si riporta la richiesta iniziale</w:t>
      </w:r>
      <w:r w:rsidR="00A75057" w:rsidRPr="00893CF0">
        <w:rPr>
          <w:rFonts w:ascii="Arial" w:hAnsi="Arial" w:cs="Arial"/>
          <w:sz w:val="24"/>
          <w:szCs w:val="24"/>
        </w:rPr>
        <w:t>, superata dal positivo confronto avuto in seno e fuori dal CF</w:t>
      </w:r>
      <w:r w:rsidRPr="00893CF0">
        <w:rPr>
          <w:rFonts w:ascii="Arial" w:hAnsi="Arial" w:cs="Arial"/>
          <w:sz w:val="24"/>
          <w:szCs w:val="24"/>
        </w:rPr>
        <w:t>:</w:t>
      </w:r>
    </w:p>
    <w:p w14:paraId="2AA63485" w14:textId="77777777" w:rsidR="00757526" w:rsidRDefault="00757526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526">
        <w:rPr>
          <w:rFonts w:ascii="Arial" w:hAnsi="Arial" w:cs="Arial"/>
          <w:sz w:val="24"/>
          <w:szCs w:val="24"/>
        </w:rPr>
        <w:t>"</w:t>
      </w:r>
      <w:r w:rsidRPr="00757526">
        <w:rPr>
          <w:rFonts w:ascii="Arial" w:hAnsi="Arial" w:cs="Arial"/>
          <w:i/>
          <w:sz w:val="24"/>
          <w:szCs w:val="24"/>
        </w:rPr>
        <w:t>Per tutte le designazioni arbitrali, a parità di qualifica arbitrale, tutti gli organismi arbitrali e i designatori dovranno dare prevalenza al criterio di maggiore vicinanza possibile della residenza dell’arbitro designato al luogo in cui si svolge l’evento sportivo</w:t>
      </w:r>
      <w:r w:rsidRPr="00757526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.</w:t>
      </w:r>
    </w:p>
    <w:p w14:paraId="453997ED" w14:textId="77777777" w:rsidR="00757526" w:rsidRDefault="00757526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Sempre per meglio rispondere alle motivazioni che hanno generato l'OA, oggi si ha che </w:t>
      </w:r>
      <w:r w:rsidRPr="00757526">
        <w:rPr>
          <w:rFonts w:ascii="Arial" w:hAnsi="Arial" w:cs="Arial"/>
          <w:sz w:val="24"/>
          <w:szCs w:val="24"/>
        </w:rPr>
        <w:t>dopo un anno di iscrizione all'albo e di effettivo svolgimento dell'attività arbitrale</w:t>
      </w:r>
      <w:r>
        <w:rPr>
          <w:rFonts w:ascii="Arial" w:hAnsi="Arial" w:cs="Arial"/>
          <w:sz w:val="24"/>
          <w:szCs w:val="24"/>
        </w:rPr>
        <w:t>,</w:t>
      </w:r>
      <w:r w:rsidRPr="00757526">
        <w:rPr>
          <w:rFonts w:ascii="Arial" w:hAnsi="Arial" w:cs="Arial"/>
          <w:sz w:val="24"/>
          <w:szCs w:val="24"/>
        </w:rPr>
        <w:t xml:space="preserve"> un Arbitro Regionale</w:t>
      </w:r>
      <w:r w:rsidR="000903FA">
        <w:rPr>
          <w:rFonts w:ascii="Arial" w:hAnsi="Arial" w:cs="Arial"/>
          <w:sz w:val="24"/>
          <w:szCs w:val="24"/>
        </w:rPr>
        <w:t xml:space="preserve"> (AR)</w:t>
      </w:r>
      <w:r w:rsidRPr="00757526">
        <w:rPr>
          <w:rFonts w:ascii="Arial" w:hAnsi="Arial" w:cs="Arial"/>
          <w:sz w:val="24"/>
          <w:szCs w:val="24"/>
        </w:rPr>
        <w:t xml:space="preserve"> può dirigere in qualità di arbitro principale manifestazioni valide per le variazioni nella graduatoria internazionale Elo FIDE, purché si tratti di manifestazioni di non più di sei turni e di rilevanza locale.</w:t>
      </w:r>
    </w:p>
    <w:p w14:paraId="4D862F1F" w14:textId="77777777" w:rsidR="000903FA" w:rsidRDefault="000903FA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Sempre in tema di formazione e attività di un AR, p</w:t>
      </w:r>
      <w:r w:rsidRPr="000903FA">
        <w:rPr>
          <w:rFonts w:ascii="Arial" w:hAnsi="Arial" w:cs="Arial"/>
          <w:sz w:val="24"/>
          <w:szCs w:val="24"/>
        </w:rPr>
        <w:t>er favorirne l’acquisiz</w:t>
      </w:r>
      <w:r>
        <w:rPr>
          <w:rFonts w:ascii="Arial" w:hAnsi="Arial" w:cs="Arial"/>
          <w:sz w:val="24"/>
          <w:szCs w:val="24"/>
        </w:rPr>
        <w:t>ione di autonomia ed esperienza</w:t>
      </w:r>
      <w:r w:rsidRPr="000903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dirigenza federale ha stabilito che </w:t>
      </w:r>
      <w:r w:rsidRPr="000903FA">
        <w:rPr>
          <w:rFonts w:ascii="Arial" w:hAnsi="Arial" w:cs="Arial"/>
          <w:sz w:val="24"/>
          <w:szCs w:val="24"/>
        </w:rPr>
        <w:t>con anzianità nella qualifica</w:t>
      </w:r>
      <w:r>
        <w:rPr>
          <w:rFonts w:ascii="Arial" w:hAnsi="Arial" w:cs="Arial"/>
          <w:sz w:val="24"/>
          <w:szCs w:val="24"/>
        </w:rPr>
        <w:t xml:space="preserve"> se</w:t>
      </w:r>
      <w:r w:rsidRPr="000903FA">
        <w:rPr>
          <w:rFonts w:ascii="Arial" w:hAnsi="Arial" w:cs="Arial"/>
          <w:sz w:val="24"/>
          <w:szCs w:val="24"/>
        </w:rPr>
        <w:t xml:space="preserve"> inferiore a un anno potrà essere designato in soprannumero in un torneo di competenza locale. Il Comitato o Delegazione Regionale, o in via surrogatoria la Federazione, provvede</w:t>
      </w:r>
      <w:r>
        <w:rPr>
          <w:rFonts w:ascii="Arial" w:hAnsi="Arial" w:cs="Arial"/>
          <w:sz w:val="24"/>
          <w:szCs w:val="24"/>
        </w:rPr>
        <w:t>rà</w:t>
      </w:r>
      <w:r w:rsidRPr="000903FA">
        <w:rPr>
          <w:rFonts w:ascii="Arial" w:hAnsi="Arial" w:cs="Arial"/>
          <w:sz w:val="24"/>
          <w:szCs w:val="24"/>
        </w:rPr>
        <w:t xml:space="preserve"> al compenso e al rimborso spese s</w:t>
      </w:r>
      <w:r>
        <w:rPr>
          <w:rFonts w:ascii="Arial" w:hAnsi="Arial" w:cs="Arial"/>
          <w:sz w:val="24"/>
          <w:szCs w:val="24"/>
        </w:rPr>
        <w:t>tabilito per l’AR.</w:t>
      </w:r>
    </w:p>
    <w:p w14:paraId="2FCA91CD" w14:textId="73CC4F26" w:rsidR="007F3908" w:rsidRDefault="007F3908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Sappiamo che l</w:t>
      </w:r>
      <w:r w:rsidR="00BC0B68">
        <w:rPr>
          <w:rFonts w:ascii="Arial" w:hAnsi="Arial" w:cs="Arial"/>
          <w:sz w:val="24"/>
          <w:szCs w:val="24"/>
        </w:rPr>
        <w:t>e</w:t>
      </w:r>
      <w:r w:rsidRPr="007F3908">
        <w:rPr>
          <w:rFonts w:ascii="Arial" w:hAnsi="Arial" w:cs="Arial"/>
          <w:sz w:val="24"/>
          <w:szCs w:val="24"/>
        </w:rPr>
        <w:t xml:space="preserve"> spese di organizzazione dei corsi,</w:t>
      </w:r>
      <w:r>
        <w:rPr>
          <w:rFonts w:ascii="Arial" w:hAnsi="Arial" w:cs="Arial"/>
          <w:sz w:val="24"/>
          <w:szCs w:val="24"/>
        </w:rPr>
        <w:t xml:space="preserve"> degli esami e delle riunioni e</w:t>
      </w:r>
      <w:r w:rsidRPr="007F3908">
        <w:rPr>
          <w:rFonts w:ascii="Arial" w:hAnsi="Arial" w:cs="Arial"/>
          <w:sz w:val="24"/>
          <w:szCs w:val="24"/>
        </w:rPr>
        <w:t xml:space="preserve"> il rimborso delle spese ai docenti ed ai commissari d'esame sono a carico del Comitato o D</w:t>
      </w:r>
      <w:r>
        <w:rPr>
          <w:rFonts w:ascii="Arial" w:hAnsi="Arial" w:cs="Arial"/>
          <w:sz w:val="24"/>
          <w:szCs w:val="24"/>
        </w:rPr>
        <w:t xml:space="preserve">elegazione Regionale competente. La novità è che, in mancanza della loro copertura per un qualsiasi valido motivo, è prevista </w:t>
      </w:r>
      <w:r w:rsidR="00A75057">
        <w:rPr>
          <w:rFonts w:ascii="Arial" w:hAnsi="Arial" w:cs="Arial"/>
          <w:sz w:val="24"/>
          <w:szCs w:val="24"/>
        </w:rPr>
        <w:t xml:space="preserve">in via </w:t>
      </w:r>
      <w:proofErr w:type="spellStart"/>
      <w:r w:rsidR="00A75057">
        <w:rPr>
          <w:rFonts w:ascii="Arial" w:hAnsi="Arial" w:cs="Arial"/>
          <w:sz w:val="24"/>
          <w:szCs w:val="24"/>
        </w:rPr>
        <w:t>surrogativa</w:t>
      </w:r>
      <w:proofErr w:type="spellEnd"/>
      <w:r w:rsidR="00A75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della Federazione.</w:t>
      </w:r>
    </w:p>
    <w:p w14:paraId="094841A3" w14:textId="70ECA2BD" w:rsidR="00120CD4" w:rsidRDefault="00A75057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3CF0">
        <w:rPr>
          <w:rFonts w:ascii="Arial" w:hAnsi="Arial" w:cs="Arial"/>
          <w:sz w:val="24"/>
          <w:szCs w:val="24"/>
        </w:rPr>
        <w:t>Inoltre,</w:t>
      </w:r>
      <w:r w:rsidR="00120CD4" w:rsidRPr="00893CF0">
        <w:rPr>
          <w:rFonts w:ascii="Arial" w:hAnsi="Arial" w:cs="Arial"/>
          <w:sz w:val="24"/>
          <w:szCs w:val="24"/>
        </w:rPr>
        <w:t xml:space="preserve"> adesso pure un Arbitro invitato o designato in eventi indetti da istituzioni </w:t>
      </w:r>
      <w:r w:rsidR="00120CD4" w:rsidRPr="00120CD4">
        <w:rPr>
          <w:rFonts w:ascii="Arial" w:hAnsi="Arial" w:cs="Arial"/>
          <w:sz w:val="24"/>
          <w:szCs w:val="24"/>
        </w:rPr>
        <w:t>internazionali che si tengono sul territorio nazionale</w:t>
      </w:r>
      <w:r w:rsidR="00120CD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è </w:t>
      </w:r>
      <w:r w:rsidR="00120CD4">
        <w:rPr>
          <w:rFonts w:ascii="Arial" w:hAnsi="Arial" w:cs="Arial"/>
          <w:sz w:val="24"/>
          <w:szCs w:val="24"/>
        </w:rPr>
        <w:t>tenuto a informarne la CAF</w:t>
      </w:r>
      <w:r w:rsidR="00120CD4" w:rsidRPr="00120CD4">
        <w:rPr>
          <w:rFonts w:ascii="Arial" w:hAnsi="Arial" w:cs="Arial"/>
          <w:sz w:val="24"/>
          <w:szCs w:val="24"/>
        </w:rPr>
        <w:t>.</w:t>
      </w:r>
    </w:p>
    <w:p w14:paraId="340ACDBA" w14:textId="77777777" w:rsidR="0027511B" w:rsidRDefault="0027511B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83254D" w14:textId="77777777" w:rsidR="000B32AE" w:rsidRDefault="000B32AE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Le novità inserite nel RSA inevitabilmente hanno comportato un adeguamento del Regolamento Designazioni Arbitrali.</w:t>
      </w:r>
    </w:p>
    <w:p w14:paraId="25434373" w14:textId="08C0F66E" w:rsidR="003C6E2F" w:rsidRDefault="003C6E2F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3CF0">
        <w:rPr>
          <w:rFonts w:ascii="Arial" w:hAnsi="Arial" w:cs="Arial"/>
          <w:sz w:val="24"/>
          <w:szCs w:val="24"/>
        </w:rPr>
        <w:t xml:space="preserve">È stata </w:t>
      </w:r>
      <w:r w:rsidR="00C342F0" w:rsidRPr="00893CF0">
        <w:rPr>
          <w:rFonts w:ascii="Arial" w:hAnsi="Arial" w:cs="Arial"/>
          <w:sz w:val="24"/>
          <w:szCs w:val="24"/>
        </w:rPr>
        <w:t xml:space="preserve">meglio precisata </w:t>
      </w:r>
      <w:r w:rsidRPr="00893CF0">
        <w:rPr>
          <w:rFonts w:ascii="Arial" w:hAnsi="Arial" w:cs="Arial"/>
          <w:sz w:val="24"/>
          <w:szCs w:val="24"/>
        </w:rPr>
        <w:t xml:space="preserve">la prassi </w:t>
      </w:r>
      <w:proofErr w:type="spellStart"/>
      <w:r w:rsidRPr="00893CF0">
        <w:rPr>
          <w:rFonts w:ascii="Arial" w:hAnsi="Arial" w:cs="Arial"/>
          <w:sz w:val="24"/>
          <w:szCs w:val="24"/>
        </w:rPr>
        <w:t>designatoria</w:t>
      </w:r>
      <w:proofErr w:type="spellEnd"/>
      <w:r w:rsidRPr="00893CF0">
        <w:rPr>
          <w:rFonts w:ascii="Arial" w:hAnsi="Arial" w:cs="Arial"/>
          <w:sz w:val="24"/>
          <w:szCs w:val="24"/>
        </w:rPr>
        <w:t xml:space="preserve"> degli ultimi anni. Facendola breve e riassumendo, le indicazioni espresse dall’Organizzatore concorrono alla composizione dello staff arbitrale ma non sono vincolanti per il Designatore</w:t>
      </w:r>
      <w:r w:rsidR="00C342F0" w:rsidRPr="00893CF0">
        <w:rPr>
          <w:rFonts w:ascii="Arial" w:hAnsi="Arial" w:cs="Arial"/>
          <w:sz w:val="24"/>
          <w:szCs w:val="24"/>
        </w:rPr>
        <w:t xml:space="preserve"> che terrà presente i molteplici parametri presenti</w:t>
      </w:r>
      <w:r w:rsidRPr="00893CF0">
        <w:rPr>
          <w:rFonts w:ascii="Arial" w:hAnsi="Arial" w:cs="Arial"/>
          <w:sz w:val="24"/>
          <w:szCs w:val="24"/>
        </w:rPr>
        <w:t>.</w:t>
      </w:r>
      <w:r w:rsidR="00C342F0" w:rsidRPr="00893CF0">
        <w:rPr>
          <w:rFonts w:ascii="Arial" w:hAnsi="Arial" w:cs="Arial"/>
          <w:sz w:val="24"/>
          <w:szCs w:val="24"/>
        </w:rPr>
        <w:t xml:space="preserve"> </w:t>
      </w:r>
      <w:r w:rsidRPr="00893CF0">
        <w:rPr>
          <w:rFonts w:ascii="Arial" w:hAnsi="Arial" w:cs="Arial"/>
          <w:sz w:val="24"/>
          <w:szCs w:val="24"/>
        </w:rPr>
        <w:t xml:space="preserve">Si è fortemente evitato che la lista dei parametri utilizzati </w:t>
      </w:r>
      <w:r w:rsidR="00455CE5" w:rsidRPr="00893CF0">
        <w:rPr>
          <w:rFonts w:ascii="Arial" w:hAnsi="Arial" w:cs="Arial"/>
          <w:sz w:val="24"/>
          <w:szCs w:val="24"/>
        </w:rPr>
        <w:t xml:space="preserve">per la scelta </w:t>
      </w:r>
      <w:r w:rsidR="00455CE5">
        <w:rPr>
          <w:rFonts w:ascii="Arial" w:hAnsi="Arial" w:cs="Arial"/>
          <w:sz w:val="24"/>
          <w:szCs w:val="24"/>
        </w:rPr>
        <w:t>degli Arbitri da designare fossero elencati in ordine prioritario.</w:t>
      </w:r>
    </w:p>
    <w:p w14:paraId="207F6C2B" w14:textId="77777777" w:rsidR="001F1A6F" w:rsidRDefault="001F1A6F" w:rsidP="001F1A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meglio rispondere alle richieste del Regolamento per la Classificazione degli Arbitri della FIDE (</w:t>
      </w:r>
      <w:proofErr w:type="spellStart"/>
      <w:r>
        <w:rPr>
          <w:rFonts w:ascii="Arial" w:hAnsi="Arial" w:cs="Arial"/>
          <w:sz w:val="24"/>
          <w:szCs w:val="24"/>
        </w:rPr>
        <w:t>HandBook</w:t>
      </w:r>
      <w:proofErr w:type="spellEnd"/>
      <w:r>
        <w:rPr>
          <w:rFonts w:ascii="Arial" w:hAnsi="Arial" w:cs="Arial"/>
          <w:sz w:val="24"/>
          <w:szCs w:val="24"/>
        </w:rPr>
        <w:t xml:space="preserve"> B.06.3), per certe designazioni è stata introdotta la figura del </w:t>
      </w:r>
      <w:proofErr w:type="spellStart"/>
      <w:r>
        <w:rPr>
          <w:rFonts w:ascii="Arial" w:hAnsi="Arial" w:cs="Arial"/>
          <w:sz w:val="24"/>
          <w:szCs w:val="24"/>
        </w:rPr>
        <w:t>Deputy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Chief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Arbiter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3657BD8" w14:textId="77777777" w:rsidR="001F1A6F" w:rsidRDefault="001F1A6F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4CFF95" w14:textId="6DBA9CB8" w:rsidR="00D21B99" w:rsidRPr="00893CF0" w:rsidRDefault="00D21B99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893CF0">
        <w:rPr>
          <w:rFonts w:ascii="Arial" w:hAnsi="Arial" w:cs="Arial"/>
          <w:sz w:val="24"/>
          <w:szCs w:val="24"/>
        </w:rPr>
        <w:tab/>
        <w:t>Il varo e la comprensione dei contenuti del precedentemente citato Dlgs 36/2021</w:t>
      </w:r>
      <w:r w:rsidR="00C90A28" w:rsidRPr="00893CF0">
        <w:rPr>
          <w:rFonts w:ascii="Arial" w:hAnsi="Arial" w:cs="Arial"/>
          <w:sz w:val="24"/>
          <w:szCs w:val="24"/>
        </w:rPr>
        <w:t xml:space="preserve"> e seguenti</w:t>
      </w:r>
      <w:r w:rsidRPr="00893CF0">
        <w:rPr>
          <w:rFonts w:ascii="Arial" w:hAnsi="Arial" w:cs="Arial"/>
          <w:sz w:val="24"/>
          <w:szCs w:val="24"/>
        </w:rPr>
        <w:t xml:space="preserve"> - la riforma del lavoro sportivo </w:t>
      </w:r>
      <w:r w:rsidR="00C342F0" w:rsidRPr="00893CF0">
        <w:rPr>
          <w:rFonts w:ascii="Arial" w:hAnsi="Arial" w:cs="Arial"/>
          <w:sz w:val="24"/>
          <w:szCs w:val="24"/>
        </w:rPr>
        <w:t>–</w:t>
      </w:r>
      <w:r w:rsidRPr="00893CF0">
        <w:rPr>
          <w:rFonts w:ascii="Arial" w:hAnsi="Arial" w:cs="Arial"/>
          <w:sz w:val="24"/>
          <w:szCs w:val="24"/>
        </w:rPr>
        <w:t xml:space="preserve"> </w:t>
      </w:r>
      <w:r w:rsidR="00C342F0" w:rsidRPr="00893CF0">
        <w:rPr>
          <w:rFonts w:ascii="Arial" w:hAnsi="Arial" w:cs="Arial"/>
          <w:sz w:val="24"/>
          <w:szCs w:val="24"/>
        </w:rPr>
        <w:t xml:space="preserve">per il ritardo dei decreti attuativi e poi anche di quelli correttivi, </w:t>
      </w:r>
      <w:r w:rsidRPr="00893CF0">
        <w:rPr>
          <w:rFonts w:ascii="Arial" w:hAnsi="Arial" w:cs="Arial"/>
          <w:sz w:val="24"/>
          <w:szCs w:val="24"/>
        </w:rPr>
        <w:t xml:space="preserve">ha </w:t>
      </w:r>
      <w:r w:rsidR="00C342F0" w:rsidRPr="00893CF0">
        <w:rPr>
          <w:rFonts w:ascii="Arial" w:hAnsi="Arial" w:cs="Arial"/>
          <w:sz w:val="24"/>
          <w:szCs w:val="24"/>
        </w:rPr>
        <w:t xml:space="preserve">necessariamente rimandato </w:t>
      </w:r>
      <w:r w:rsidRPr="00893CF0">
        <w:rPr>
          <w:rFonts w:ascii="Arial" w:hAnsi="Arial" w:cs="Arial"/>
          <w:sz w:val="24"/>
          <w:szCs w:val="24"/>
        </w:rPr>
        <w:t xml:space="preserve">l'adeguamento dei compensi arbitrali, </w:t>
      </w:r>
      <w:r w:rsidR="00C342F0" w:rsidRPr="00893CF0">
        <w:rPr>
          <w:rFonts w:ascii="Arial" w:hAnsi="Arial" w:cs="Arial"/>
          <w:sz w:val="24"/>
          <w:szCs w:val="24"/>
        </w:rPr>
        <w:t xml:space="preserve">che erano </w:t>
      </w:r>
      <w:r w:rsidRPr="00893CF0">
        <w:rPr>
          <w:rFonts w:ascii="Arial" w:hAnsi="Arial" w:cs="Arial"/>
          <w:sz w:val="24"/>
          <w:szCs w:val="24"/>
        </w:rPr>
        <w:t>fermi al 2015.</w:t>
      </w:r>
    </w:p>
    <w:p w14:paraId="5FF5E978" w14:textId="274DA638" w:rsidR="00D21B99" w:rsidRPr="00893CF0" w:rsidRDefault="00D21B99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3CF0">
        <w:rPr>
          <w:rFonts w:ascii="Arial" w:hAnsi="Arial" w:cs="Arial"/>
          <w:sz w:val="24"/>
          <w:szCs w:val="24"/>
        </w:rPr>
        <w:t>Lo scorso novembre è finalmente entrato in vigore quello che è diventato un regolamento ad hoc, strutturato per fasce di competizioni</w:t>
      </w:r>
      <w:r w:rsidR="00413FA7" w:rsidRPr="00893CF0">
        <w:rPr>
          <w:rFonts w:ascii="Arial" w:hAnsi="Arial" w:cs="Arial"/>
          <w:sz w:val="24"/>
          <w:szCs w:val="24"/>
        </w:rPr>
        <w:t>. Il recupero dei compensi è stato mediamente del 20%, più o meno l'inflazione reale avutasi tra il 2016 e il 2024</w:t>
      </w:r>
      <w:r w:rsidR="00C342F0" w:rsidRPr="00893CF0">
        <w:rPr>
          <w:rFonts w:ascii="Arial" w:hAnsi="Arial" w:cs="Arial"/>
          <w:sz w:val="24"/>
          <w:szCs w:val="24"/>
        </w:rPr>
        <w:t xml:space="preserve"> ed ha trovato il Presidente e il CF sensibili ad accogliere la richiesta.</w:t>
      </w:r>
    </w:p>
    <w:p w14:paraId="780A819F" w14:textId="709570C2" w:rsidR="00520BEB" w:rsidRDefault="006B7709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3CF0">
        <w:rPr>
          <w:rFonts w:ascii="Arial" w:hAnsi="Arial" w:cs="Arial"/>
          <w:sz w:val="24"/>
          <w:szCs w:val="24"/>
        </w:rPr>
        <w:t>Inoltre,</w:t>
      </w:r>
      <w:r w:rsidR="00C90A28" w:rsidRPr="00893CF0">
        <w:rPr>
          <w:rFonts w:ascii="Arial" w:hAnsi="Arial" w:cs="Arial"/>
          <w:sz w:val="24"/>
          <w:szCs w:val="24"/>
        </w:rPr>
        <w:t xml:space="preserve"> n</w:t>
      </w:r>
      <w:r w:rsidR="009C07D9" w:rsidRPr="00893CF0">
        <w:rPr>
          <w:rFonts w:ascii="Arial" w:hAnsi="Arial" w:cs="Arial"/>
          <w:sz w:val="24"/>
          <w:szCs w:val="24"/>
        </w:rPr>
        <w:t>el documento si trova</w:t>
      </w:r>
      <w:r w:rsidR="003808B3" w:rsidRPr="00893CF0">
        <w:rPr>
          <w:rFonts w:ascii="Arial" w:hAnsi="Arial" w:cs="Arial"/>
          <w:sz w:val="24"/>
          <w:szCs w:val="24"/>
        </w:rPr>
        <w:t>no</w:t>
      </w:r>
      <w:r w:rsidR="009C07D9" w:rsidRPr="00893CF0">
        <w:rPr>
          <w:rFonts w:ascii="Arial" w:hAnsi="Arial" w:cs="Arial"/>
          <w:sz w:val="24"/>
          <w:szCs w:val="24"/>
        </w:rPr>
        <w:t xml:space="preserve"> il dettaglio </w:t>
      </w:r>
      <w:r w:rsidR="00C342F0" w:rsidRPr="00893CF0">
        <w:rPr>
          <w:rFonts w:ascii="Arial" w:hAnsi="Arial" w:cs="Arial"/>
          <w:sz w:val="24"/>
          <w:szCs w:val="24"/>
        </w:rPr>
        <w:t xml:space="preserve">e precisazioni </w:t>
      </w:r>
      <w:r w:rsidR="003808B3" w:rsidRPr="00893CF0">
        <w:rPr>
          <w:rFonts w:ascii="Arial" w:hAnsi="Arial" w:cs="Arial"/>
          <w:sz w:val="24"/>
          <w:szCs w:val="24"/>
        </w:rPr>
        <w:t>del</w:t>
      </w:r>
      <w:r w:rsidR="009C07D9" w:rsidRPr="00893CF0">
        <w:rPr>
          <w:rFonts w:ascii="Arial" w:hAnsi="Arial" w:cs="Arial"/>
          <w:sz w:val="24"/>
          <w:szCs w:val="24"/>
        </w:rPr>
        <w:t xml:space="preserve">le condizioni di ospitalità e </w:t>
      </w:r>
      <w:bookmarkEnd w:id="0"/>
      <w:r w:rsidR="003808B3">
        <w:rPr>
          <w:rFonts w:ascii="Arial" w:hAnsi="Arial" w:cs="Arial"/>
          <w:sz w:val="24"/>
          <w:szCs w:val="24"/>
        </w:rPr>
        <w:t xml:space="preserve">quelle per </w:t>
      </w:r>
      <w:r w:rsidR="009C07D9">
        <w:rPr>
          <w:rFonts w:ascii="Arial" w:hAnsi="Arial" w:cs="Arial"/>
          <w:sz w:val="24"/>
          <w:szCs w:val="24"/>
        </w:rPr>
        <w:t>il rimborso delle spese di viaggio.</w:t>
      </w:r>
    </w:p>
    <w:p w14:paraId="461BB995" w14:textId="77777777" w:rsidR="0027511B" w:rsidRDefault="0027511B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AB56AE" w14:textId="77777777" w:rsidR="0027511B" w:rsidRDefault="00C90A28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Il quasi quadriennio trascorso, per la CAF uscente è stato denso di lavoro</w:t>
      </w:r>
      <w:r w:rsidR="00C019F6">
        <w:rPr>
          <w:rFonts w:ascii="Arial" w:hAnsi="Arial" w:cs="Arial"/>
          <w:sz w:val="24"/>
          <w:szCs w:val="24"/>
        </w:rPr>
        <w:t xml:space="preserve"> ordinario e non</w:t>
      </w:r>
      <w:r>
        <w:rPr>
          <w:rFonts w:ascii="Arial" w:hAnsi="Arial" w:cs="Arial"/>
          <w:sz w:val="24"/>
          <w:szCs w:val="24"/>
        </w:rPr>
        <w:t>, come si può facilmente evincere dalla lettura delle relazioni annuali, tutte pubblicate sul nostro sito web.</w:t>
      </w:r>
    </w:p>
    <w:p w14:paraId="38292AFA" w14:textId="77777777" w:rsidR="00720FB5" w:rsidRDefault="00720FB5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rapporto con gli organi decisionali della nostra Federazione è stato vicendevolmente rispettoso, collaborativo e proficuo. Tutto ciò non è scontato e automatico, quindi desidero sottolinearlo.</w:t>
      </w:r>
    </w:p>
    <w:p w14:paraId="1E628387" w14:textId="77777777" w:rsidR="00B3415D" w:rsidRDefault="00B3415D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Abbiamo sempre trovato disponibilità e cortesia presso lo staff federale, quindi un dovuto grazie al Segretario Generale Mauro Fiori, alla Segretaria Sig.ra Elisabetta Ambivero, all'addetto stampa Anania Casale e, quando è stato necessario e utile, a </w:t>
      </w:r>
      <w:proofErr w:type="spellStart"/>
      <w:r>
        <w:rPr>
          <w:rFonts w:ascii="Arial" w:hAnsi="Arial" w:cs="Arial"/>
          <w:sz w:val="24"/>
          <w:szCs w:val="24"/>
        </w:rPr>
        <w:t>Maskeret</w:t>
      </w:r>
      <w:proofErr w:type="spellEnd"/>
      <w:r>
        <w:rPr>
          <w:rFonts w:ascii="Arial" w:hAnsi="Arial" w:cs="Arial"/>
          <w:sz w:val="24"/>
          <w:szCs w:val="24"/>
        </w:rPr>
        <w:t xml:space="preserve"> - al secolo Maurizio Mascheroni!</w:t>
      </w:r>
    </w:p>
    <w:p w14:paraId="445C8931" w14:textId="77777777" w:rsidR="00C019F6" w:rsidRDefault="00A106F7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 bene e nel male, la gestione </w:t>
      </w:r>
      <w:r w:rsidR="001C72AC">
        <w:rPr>
          <w:rFonts w:ascii="Arial" w:hAnsi="Arial" w:cs="Arial"/>
          <w:sz w:val="24"/>
          <w:szCs w:val="24"/>
        </w:rPr>
        <w:t xml:space="preserve">ordinaria </w:t>
      </w:r>
      <w:r>
        <w:rPr>
          <w:rFonts w:ascii="Arial" w:hAnsi="Arial" w:cs="Arial"/>
          <w:sz w:val="24"/>
          <w:szCs w:val="24"/>
        </w:rPr>
        <w:t>de</w:t>
      </w:r>
      <w:r w:rsidR="001C72A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SA</w:t>
      </w:r>
      <w:r w:rsidR="001C72AC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i risultati ottenuti</w:t>
      </w:r>
      <w:r w:rsidR="00C019F6">
        <w:rPr>
          <w:rFonts w:ascii="Arial" w:hAnsi="Arial" w:cs="Arial"/>
          <w:sz w:val="24"/>
          <w:szCs w:val="24"/>
        </w:rPr>
        <w:t xml:space="preserve"> non sarebbe</w:t>
      </w:r>
      <w:r>
        <w:rPr>
          <w:rFonts w:ascii="Arial" w:hAnsi="Arial" w:cs="Arial"/>
          <w:sz w:val="24"/>
          <w:szCs w:val="24"/>
        </w:rPr>
        <w:t>ro stati possibili</w:t>
      </w:r>
      <w:r w:rsidR="00C019F6">
        <w:rPr>
          <w:rFonts w:ascii="Arial" w:hAnsi="Arial" w:cs="Arial"/>
          <w:sz w:val="24"/>
          <w:szCs w:val="24"/>
        </w:rPr>
        <w:t xml:space="preserve"> senza l'impegno e la professionalità </w:t>
      </w:r>
      <w:r>
        <w:rPr>
          <w:rFonts w:ascii="Arial" w:hAnsi="Arial" w:cs="Arial"/>
          <w:sz w:val="24"/>
          <w:szCs w:val="24"/>
        </w:rPr>
        <w:t xml:space="preserve">di Luigi Forlano, Mario Held, Antonella Lay e Nicola Pino, </w:t>
      </w:r>
      <w:r w:rsidR="001C72AC">
        <w:rPr>
          <w:rFonts w:ascii="Arial" w:hAnsi="Arial" w:cs="Arial"/>
          <w:sz w:val="24"/>
          <w:szCs w:val="24"/>
        </w:rPr>
        <w:t>con i quali si è formato un "gruppo coeso di amici"</w:t>
      </w:r>
      <w:r w:rsidR="00FB2BD6">
        <w:rPr>
          <w:rFonts w:ascii="Arial" w:hAnsi="Arial" w:cs="Arial"/>
          <w:sz w:val="24"/>
          <w:szCs w:val="24"/>
        </w:rPr>
        <w:t>. M</w:t>
      </w:r>
      <w:r w:rsidR="001C72AC">
        <w:rPr>
          <w:rFonts w:ascii="Arial" w:hAnsi="Arial" w:cs="Arial"/>
          <w:sz w:val="24"/>
          <w:szCs w:val="24"/>
        </w:rPr>
        <w:t xml:space="preserve">a </w:t>
      </w:r>
      <w:r w:rsidR="00720FB5">
        <w:rPr>
          <w:rFonts w:ascii="Arial" w:hAnsi="Arial" w:cs="Arial"/>
          <w:sz w:val="24"/>
          <w:szCs w:val="24"/>
        </w:rPr>
        <w:t xml:space="preserve">desidero sottolineare che </w:t>
      </w:r>
      <w:r w:rsidR="001C72AC">
        <w:rPr>
          <w:rFonts w:ascii="Arial" w:hAnsi="Arial" w:cs="Arial"/>
          <w:sz w:val="24"/>
          <w:szCs w:val="24"/>
        </w:rPr>
        <w:t xml:space="preserve">siamo stati </w:t>
      </w:r>
      <w:r w:rsidR="00720FB5">
        <w:rPr>
          <w:rFonts w:ascii="Arial" w:hAnsi="Arial" w:cs="Arial"/>
          <w:sz w:val="24"/>
          <w:szCs w:val="24"/>
        </w:rPr>
        <w:t xml:space="preserve">fortemente </w:t>
      </w:r>
      <w:r w:rsidR="00FB2BD6">
        <w:rPr>
          <w:rFonts w:ascii="Arial" w:hAnsi="Arial" w:cs="Arial"/>
          <w:sz w:val="24"/>
          <w:szCs w:val="24"/>
        </w:rPr>
        <w:t>supportati (a volte anche sopportati)</w:t>
      </w:r>
      <w:r w:rsidR="001C72AC">
        <w:rPr>
          <w:rFonts w:ascii="Arial" w:hAnsi="Arial" w:cs="Arial"/>
          <w:sz w:val="24"/>
          <w:szCs w:val="24"/>
        </w:rPr>
        <w:t xml:space="preserve"> d</w:t>
      </w:r>
      <w:r w:rsidR="00FB2BD6">
        <w:rPr>
          <w:rFonts w:ascii="Arial" w:hAnsi="Arial" w:cs="Arial"/>
          <w:sz w:val="24"/>
          <w:szCs w:val="24"/>
        </w:rPr>
        <w:t>a</w:t>
      </w:r>
      <w:r w:rsidR="001C72AC">
        <w:rPr>
          <w:rFonts w:ascii="Arial" w:hAnsi="Arial" w:cs="Arial"/>
          <w:sz w:val="24"/>
          <w:szCs w:val="24"/>
        </w:rPr>
        <w:t xml:space="preserve">gli 11 Fiduciari d'Area: Domenico Buffa, </w:t>
      </w:r>
      <w:r w:rsidR="00FB2BD6">
        <w:rPr>
          <w:rFonts w:ascii="Arial" w:hAnsi="Arial" w:cs="Arial"/>
          <w:sz w:val="24"/>
          <w:szCs w:val="24"/>
        </w:rPr>
        <w:t xml:space="preserve">Mauro Doppioni, Michele Gisolini, Giovanni Lattanzi, Claudio Lombardo, Massimo Maione, Angelo Mancini, Giovanni Mascia, Roberto Pulimeno, Renzo </w:t>
      </w:r>
      <w:proofErr w:type="spellStart"/>
      <w:r w:rsidR="00FB2BD6">
        <w:rPr>
          <w:rFonts w:ascii="Arial" w:hAnsi="Arial" w:cs="Arial"/>
          <w:sz w:val="24"/>
          <w:szCs w:val="24"/>
        </w:rPr>
        <w:t>Renier</w:t>
      </w:r>
      <w:proofErr w:type="spellEnd"/>
      <w:r w:rsidR="00FB2BD6">
        <w:rPr>
          <w:rFonts w:ascii="Arial" w:hAnsi="Arial" w:cs="Arial"/>
          <w:sz w:val="24"/>
          <w:szCs w:val="24"/>
        </w:rPr>
        <w:t xml:space="preserve"> e Paolo Saltalippi. A</w:t>
      </w:r>
      <w:r w:rsidR="001C54D1">
        <w:rPr>
          <w:rFonts w:ascii="Arial" w:hAnsi="Arial" w:cs="Arial"/>
          <w:sz w:val="24"/>
          <w:szCs w:val="24"/>
        </w:rPr>
        <w:t>nche a</w:t>
      </w:r>
      <w:r w:rsidR="00FB2BD6">
        <w:rPr>
          <w:rFonts w:ascii="Arial" w:hAnsi="Arial" w:cs="Arial"/>
          <w:sz w:val="24"/>
          <w:szCs w:val="24"/>
        </w:rPr>
        <w:t xml:space="preserve"> loro un grazie di cuore!</w:t>
      </w:r>
    </w:p>
    <w:p w14:paraId="2D07EAA7" w14:textId="77777777" w:rsidR="00B97552" w:rsidRDefault="00B97552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C1D7F2" w14:textId="77777777" w:rsidR="00B97552" w:rsidRDefault="00BC0B68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Imola</w:t>
      </w:r>
      <w:r w:rsidR="007D1FFB">
        <w:rPr>
          <w:rFonts w:ascii="Arial" w:hAnsi="Arial" w:cs="Arial"/>
          <w:sz w:val="24"/>
          <w:szCs w:val="24"/>
        </w:rPr>
        <w:t>, 2</w:t>
      </w:r>
      <w:r w:rsidR="0027511B">
        <w:rPr>
          <w:rFonts w:ascii="Arial" w:hAnsi="Arial" w:cs="Arial"/>
          <w:sz w:val="24"/>
          <w:szCs w:val="24"/>
        </w:rPr>
        <w:t>3</w:t>
      </w:r>
      <w:r w:rsidR="007D1FFB">
        <w:rPr>
          <w:rFonts w:ascii="Arial" w:hAnsi="Arial" w:cs="Arial"/>
          <w:sz w:val="24"/>
          <w:szCs w:val="24"/>
        </w:rPr>
        <w:t xml:space="preserve"> febbraio 202</w:t>
      </w:r>
      <w:r w:rsidR="0027511B">
        <w:rPr>
          <w:rFonts w:ascii="Arial" w:hAnsi="Arial" w:cs="Arial"/>
          <w:sz w:val="24"/>
          <w:szCs w:val="24"/>
        </w:rPr>
        <w:t>5</w:t>
      </w:r>
    </w:p>
    <w:p w14:paraId="5E861922" w14:textId="77777777" w:rsidR="00B97552" w:rsidRDefault="00B97552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7F0C5C" w14:textId="77777777" w:rsidR="00B97552" w:rsidRDefault="00B97552" w:rsidP="00B97552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Il Presidente della</w:t>
      </w:r>
    </w:p>
    <w:p w14:paraId="7A0A0B8C" w14:textId="77777777" w:rsidR="00B97552" w:rsidRDefault="00B97552" w:rsidP="00B97552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Commissione Arbitrale Federale</w:t>
      </w:r>
    </w:p>
    <w:p w14:paraId="6E69E9CD" w14:textId="77777777" w:rsidR="00B97552" w:rsidRPr="00753A03" w:rsidRDefault="00B97552" w:rsidP="00B97552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9211A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703B45B2" wp14:editId="2CEDB0FB">
            <wp:extent cx="1550670" cy="2940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552" w:rsidRPr="00753A03" w:rsidSect="00720FB5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A43F9" w14:textId="77777777" w:rsidR="002452F0" w:rsidRDefault="002452F0" w:rsidP="0086618C">
      <w:pPr>
        <w:spacing w:after="0" w:line="240" w:lineRule="auto"/>
      </w:pPr>
      <w:r>
        <w:separator/>
      </w:r>
    </w:p>
  </w:endnote>
  <w:endnote w:type="continuationSeparator" w:id="0">
    <w:p w14:paraId="2D340B0A" w14:textId="77777777" w:rsidR="002452F0" w:rsidRDefault="002452F0" w:rsidP="0086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441274481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9B8D" w14:textId="77777777" w:rsidR="0086618C" w:rsidRPr="0086618C" w:rsidRDefault="0086618C" w:rsidP="0086618C">
            <w:pPr>
              <w:pStyle w:val="Pidipagina"/>
              <w:jc w:val="right"/>
              <w:rPr>
                <w:i/>
              </w:rPr>
            </w:pPr>
            <w:r w:rsidRPr="0086618C">
              <w:rPr>
                <w:rFonts w:ascii="Arial" w:hAnsi="Arial" w:cs="Arial"/>
                <w:i/>
                <w:sz w:val="20"/>
                <w:szCs w:val="20"/>
              </w:rPr>
              <w:t xml:space="preserve">Pag. </w:t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PAGE</w:instrText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893CF0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3</w:t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86618C">
              <w:rPr>
                <w:rFonts w:ascii="Arial" w:hAnsi="Arial" w:cs="Arial"/>
                <w:i/>
                <w:sz w:val="20"/>
                <w:szCs w:val="20"/>
              </w:rPr>
              <w:t xml:space="preserve"> di </w:t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NUMPAGES</w:instrText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893CF0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3</w:t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DA9B7" w14:textId="77777777" w:rsidR="002452F0" w:rsidRDefault="002452F0" w:rsidP="0086618C">
      <w:pPr>
        <w:spacing w:after="0" w:line="240" w:lineRule="auto"/>
      </w:pPr>
      <w:r>
        <w:separator/>
      </w:r>
    </w:p>
  </w:footnote>
  <w:footnote w:type="continuationSeparator" w:id="0">
    <w:p w14:paraId="47462F45" w14:textId="77777777" w:rsidR="002452F0" w:rsidRDefault="002452F0" w:rsidP="00866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425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C1"/>
    <w:rsid w:val="0002024B"/>
    <w:rsid w:val="000275BA"/>
    <w:rsid w:val="00040D67"/>
    <w:rsid w:val="000632A5"/>
    <w:rsid w:val="00076C58"/>
    <w:rsid w:val="000903FA"/>
    <w:rsid w:val="000B32AE"/>
    <w:rsid w:val="0011064E"/>
    <w:rsid w:val="00112924"/>
    <w:rsid w:val="00120CD4"/>
    <w:rsid w:val="0013648D"/>
    <w:rsid w:val="00143114"/>
    <w:rsid w:val="0016599E"/>
    <w:rsid w:val="00177BC1"/>
    <w:rsid w:val="00180F88"/>
    <w:rsid w:val="00182690"/>
    <w:rsid w:val="00182FFA"/>
    <w:rsid w:val="0019687B"/>
    <w:rsid w:val="001B04E0"/>
    <w:rsid w:val="001B1F29"/>
    <w:rsid w:val="001C54D1"/>
    <w:rsid w:val="001C72AC"/>
    <w:rsid w:val="001E0CBD"/>
    <w:rsid w:val="001F1A6F"/>
    <w:rsid w:val="001F5D3F"/>
    <w:rsid w:val="00204702"/>
    <w:rsid w:val="00241E9F"/>
    <w:rsid w:val="002452F0"/>
    <w:rsid w:val="00262502"/>
    <w:rsid w:val="00266964"/>
    <w:rsid w:val="0027511B"/>
    <w:rsid w:val="002B3BEE"/>
    <w:rsid w:val="002E0932"/>
    <w:rsid w:val="002E638A"/>
    <w:rsid w:val="002F05FF"/>
    <w:rsid w:val="0032166F"/>
    <w:rsid w:val="003234D6"/>
    <w:rsid w:val="00335594"/>
    <w:rsid w:val="003808B3"/>
    <w:rsid w:val="003A2B06"/>
    <w:rsid w:val="003A61E5"/>
    <w:rsid w:val="003B3A46"/>
    <w:rsid w:val="003C0E54"/>
    <w:rsid w:val="003C6E2F"/>
    <w:rsid w:val="003D205D"/>
    <w:rsid w:val="003E1E90"/>
    <w:rsid w:val="003F1AD2"/>
    <w:rsid w:val="0040240B"/>
    <w:rsid w:val="004109A5"/>
    <w:rsid w:val="00413FA7"/>
    <w:rsid w:val="00434FFA"/>
    <w:rsid w:val="00455CE5"/>
    <w:rsid w:val="00461CBD"/>
    <w:rsid w:val="0046738B"/>
    <w:rsid w:val="00473B5F"/>
    <w:rsid w:val="00474346"/>
    <w:rsid w:val="004D0D28"/>
    <w:rsid w:val="004E6766"/>
    <w:rsid w:val="00520BEB"/>
    <w:rsid w:val="005524AC"/>
    <w:rsid w:val="00560223"/>
    <w:rsid w:val="00575C21"/>
    <w:rsid w:val="005B17BD"/>
    <w:rsid w:val="005D015E"/>
    <w:rsid w:val="005D596B"/>
    <w:rsid w:val="005E7120"/>
    <w:rsid w:val="005F1C98"/>
    <w:rsid w:val="00604232"/>
    <w:rsid w:val="00624F14"/>
    <w:rsid w:val="006351AB"/>
    <w:rsid w:val="00645A06"/>
    <w:rsid w:val="00692D4E"/>
    <w:rsid w:val="006B5EF4"/>
    <w:rsid w:val="006B7709"/>
    <w:rsid w:val="006E60DB"/>
    <w:rsid w:val="00701F03"/>
    <w:rsid w:val="00720FB5"/>
    <w:rsid w:val="00723BF1"/>
    <w:rsid w:val="00734663"/>
    <w:rsid w:val="00736F5D"/>
    <w:rsid w:val="00743614"/>
    <w:rsid w:val="00744988"/>
    <w:rsid w:val="00753857"/>
    <w:rsid w:val="00753A03"/>
    <w:rsid w:val="00757526"/>
    <w:rsid w:val="00782352"/>
    <w:rsid w:val="00790111"/>
    <w:rsid w:val="007A4F94"/>
    <w:rsid w:val="007C04D3"/>
    <w:rsid w:val="007D1FFB"/>
    <w:rsid w:val="007D38F3"/>
    <w:rsid w:val="007E15D1"/>
    <w:rsid w:val="007E6618"/>
    <w:rsid w:val="007F3908"/>
    <w:rsid w:val="00835068"/>
    <w:rsid w:val="00840187"/>
    <w:rsid w:val="0086618C"/>
    <w:rsid w:val="00870FC7"/>
    <w:rsid w:val="00893CF0"/>
    <w:rsid w:val="00894FFB"/>
    <w:rsid w:val="008E4A9B"/>
    <w:rsid w:val="008F169C"/>
    <w:rsid w:val="008F4B59"/>
    <w:rsid w:val="009074B3"/>
    <w:rsid w:val="0097243D"/>
    <w:rsid w:val="00975722"/>
    <w:rsid w:val="00984AA4"/>
    <w:rsid w:val="00985A36"/>
    <w:rsid w:val="009904DF"/>
    <w:rsid w:val="009B1317"/>
    <w:rsid w:val="009B473F"/>
    <w:rsid w:val="009B48A1"/>
    <w:rsid w:val="009C07D9"/>
    <w:rsid w:val="009C29D9"/>
    <w:rsid w:val="009D48DC"/>
    <w:rsid w:val="009E6344"/>
    <w:rsid w:val="009F1DBA"/>
    <w:rsid w:val="00A01DE5"/>
    <w:rsid w:val="00A106F7"/>
    <w:rsid w:val="00A12772"/>
    <w:rsid w:val="00A17A70"/>
    <w:rsid w:val="00A42748"/>
    <w:rsid w:val="00A44355"/>
    <w:rsid w:val="00A523F6"/>
    <w:rsid w:val="00A5491F"/>
    <w:rsid w:val="00A75057"/>
    <w:rsid w:val="00AC1B54"/>
    <w:rsid w:val="00AC2E68"/>
    <w:rsid w:val="00AD48E1"/>
    <w:rsid w:val="00AD602A"/>
    <w:rsid w:val="00AE46CA"/>
    <w:rsid w:val="00B00EF9"/>
    <w:rsid w:val="00B13414"/>
    <w:rsid w:val="00B252CC"/>
    <w:rsid w:val="00B3415D"/>
    <w:rsid w:val="00B37C04"/>
    <w:rsid w:val="00B45C25"/>
    <w:rsid w:val="00B51E74"/>
    <w:rsid w:val="00B63216"/>
    <w:rsid w:val="00B6567F"/>
    <w:rsid w:val="00B90255"/>
    <w:rsid w:val="00B95DBB"/>
    <w:rsid w:val="00B97552"/>
    <w:rsid w:val="00BA1843"/>
    <w:rsid w:val="00BA4E50"/>
    <w:rsid w:val="00BA526B"/>
    <w:rsid w:val="00BA7964"/>
    <w:rsid w:val="00BC0B68"/>
    <w:rsid w:val="00BF3820"/>
    <w:rsid w:val="00C019F6"/>
    <w:rsid w:val="00C17737"/>
    <w:rsid w:val="00C236C2"/>
    <w:rsid w:val="00C32BD1"/>
    <w:rsid w:val="00C342F0"/>
    <w:rsid w:val="00C366C8"/>
    <w:rsid w:val="00C50398"/>
    <w:rsid w:val="00C62F02"/>
    <w:rsid w:val="00C87A0F"/>
    <w:rsid w:val="00C90A28"/>
    <w:rsid w:val="00C91F74"/>
    <w:rsid w:val="00C92A66"/>
    <w:rsid w:val="00C9698A"/>
    <w:rsid w:val="00CA7D66"/>
    <w:rsid w:val="00CB1CFA"/>
    <w:rsid w:val="00CC17BD"/>
    <w:rsid w:val="00CD0D82"/>
    <w:rsid w:val="00CD1A2F"/>
    <w:rsid w:val="00D07076"/>
    <w:rsid w:val="00D21B99"/>
    <w:rsid w:val="00D26702"/>
    <w:rsid w:val="00D42606"/>
    <w:rsid w:val="00D55ABD"/>
    <w:rsid w:val="00D57A14"/>
    <w:rsid w:val="00D60FCB"/>
    <w:rsid w:val="00D625D3"/>
    <w:rsid w:val="00D75B17"/>
    <w:rsid w:val="00D848B7"/>
    <w:rsid w:val="00D93AF0"/>
    <w:rsid w:val="00DB35ED"/>
    <w:rsid w:val="00DC1384"/>
    <w:rsid w:val="00E00B92"/>
    <w:rsid w:val="00E42CDE"/>
    <w:rsid w:val="00E4377A"/>
    <w:rsid w:val="00E76CF0"/>
    <w:rsid w:val="00EA54DB"/>
    <w:rsid w:val="00EC7DBB"/>
    <w:rsid w:val="00ED6153"/>
    <w:rsid w:val="00EE250A"/>
    <w:rsid w:val="00EE4D9D"/>
    <w:rsid w:val="00F126EF"/>
    <w:rsid w:val="00F26EA3"/>
    <w:rsid w:val="00F321AE"/>
    <w:rsid w:val="00F51D54"/>
    <w:rsid w:val="00F53C34"/>
    <w:rsid w:val="00F726A6"/>
    <w:rsid w:val="00F937B6"/>
    <w:rsid w:val="00FA3CD2"/>
    <w:rsid w:val="00FA4E93"/>
    <w:rsid w:val="00FB2BD6"/>
    <w:rsid w:val="00FB5AF7"/>
    <w:rsid w:val="00FC45F0"/>
    <w:rsid w:val="00FC67FB"/>
    <w:rsid w:val="00FD6A65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31734"/>
  <w15:chartTrackingRefBased/>
  <w15:docId w15:val="{76ADC459-E5A5-4D18-AC1D-43BBF4EF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80F88"/>
    <w:pPr>
      <w:keepNext/>
      <w:spacing w:before="480" w:after="240" w:line="240" w:lineRule="auto"/>
      <w:jc w:val="both"/>
      <w:outlineLvl w:val="1"/>
    </w:pPr>
    <w:rPr>
      <w:rFonts w:ascii="Arial" w:eastAsia="Calibri" w:hAnsi="Arial" w:cs="Arial"/>
      <w:b/>
      <w:bCs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18C"/>
  </w:style>
  <w:style w:type="paragraph" w:styleId="Pidipagina">
    <w:name w:val="footer"/>
    <w:basedOn w:val="Normale"/>
    <w:link w:val="PidipaginaCarattere"/>
    <w:uiPriority w:val="99"/>
    <w:unhideWhenUsed/>
    <w:rsid w:val="0086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18C"/>
  </w:style>
  <w:style w:type="character" w:customStyle="1" w:styleId="Titolo2Carattere">
    <w:name w:val="Titolo 2 Carattere"/>
    <w:basedOn w:val="Carpredefinitoparagrafo"/>
    <w:link w:val="Titolo2"/>
    <w:rsid w:val="00180F88"/>
    <w:rPr>
      <w:rFonts w:ascii="Arial" w:eastAsia="Calibri" w:hAnsi="Arial" w:cs="Arial"/>
      <w:b/>
      <w:bCs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%20Sio\Desktop\Norma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54B8-B023-48E5-A137-D63C7A14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19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Desio Francesco</dc:creator>
  <cp:keywords/>
  <dc:description/>
  <cp:lastModifiedBy>Francesco De Sio</cp:lastModifiedBy>
  <cp:revision>3</cp:revision>
  <dcterms:created xsi:type="dcterms:W3CDTF">2025-02-02T12:28:00Z</dcterms:created>
  <dcterms:modified xsi:type="dcterms:W3CDTF">2025-02-03T20:01:00Z</dcterms:modified>
</cp:coreProperties>
</file>