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wmf" ContentType="image/x-wmf"/>
  <Override PartName="/word/media/image4.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drawing>
          <wp:anchor behindDoc="0" distT="0" distB="0" distL="0" distR="0" simplePos="0" locked="0" layoutInCell="0" allowOverlap="1" relativeHeight="14">
            <wp:simplePos x="0" y="0"/>
            <wp:positionH relativeFrom="column">
              <wp:posOffset>2393315</wp:posOffset>
            </wp:positionH>
            <wp:positionV relativeFrom="paragraph">
              <wp:posOffset>-1009015</wp:posOffset>
            </wp:positionV>
            <wp:extent cx="952500" cy="95250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952500" cy="952500"/>
                    </a:xfrm>
                    <a:prstGeom prst="rect">
                      <a:avLst/>
                    </a:prstGeom>
                  </pic:spPr>
                </pic:pic>
              </a:graphicData>
            </a:graphic>
          </wp:anchor>
        </w:drawing>
      </w:r>
      <w:r>
        <w:rPr/>
        <w:tab/>
        <w:tab/>
        <w:tab/>
        <w:tab/>
        <w:tab/>
        <w:tab/>
        <w:tab/>
        <w:tab/>
        <w:tab/>
        <w:tab/>
        <w:t xml:space="preserve">Torino, </w:t>
      </w:r>
      <w:r>
        <w:rPr/>
        <w:t>31</w:t>
      </w:r>
      <w:r>
        <w:rPr/>
        <w:t>/01/2022</w:t>
      </w:r>
    </w:p>
    <w:p>
      <w:pPr>
        <w:pStyle w:val="Normal"/>
        <w:rPr/>
      </w:pPr>
      <w:r>
        <w:rPr/>
      </w:r>
    </w:p>
    <w:p>
      <w:pPr>
        <w:pStyle w:val="Normal"/>
        <w:rPr/>
      </w:pPr>
      <w:r>
        <w:rPr/>
        <w:t xml:space="preserve">Il </w:t>
      </w:r>
      <w:r>
        <w:rPr>
          <w:b/>
          <w:bCs/>
        </w:rPr>
        <w:t>Fiduciario d’Area</w:t>
      </w:r>
      <w:r>
        <w:rPr/>
        <w:t xml:space="preserve"> degli arbitri, in collaborazione con il </w:t>
      </w:r>
      <w:r>
        <w:rPr>
          <w:b/>
          <w:bCs/>
        </w:rPr>
        <w:t>Comitato Regionale Piemonte</w:t>
      </w:r>
      <w:r>
        <w:rPr/>
        <w:t xml:space="preserve"> e con l’autorizzazione della </w:t>
      </w:r>
      <w:r>
        <w:rPr>
          <w:b/>
          <w:bCs/>
        </w:rPr>
        <w:t>CAF</w:t>
      </w:r>
      <w:r>
        <w:rPr/>
        <w:t>, indice un:</w:t>
      </w:r>
    </w:p>
    <w:p>
      <w:pPr>
        <w:pStyle w:val="Normal"/>
        <w:rPr/>
      </w:pPr>
      <w:r>
        <w:rPr/>
      </w:r>
    </w:p>
    <w:p>
      <w:pPr>
        <w:pStyle w:val="Normal"/>
        <w:jc w:val="center"/>
        <w:rPr>
          <w:b/>
          <w:b/>
          <w:bCs/>
          <w:sz w:val="28"/>
          <w:szCs w:val="28"/>
        </w:rPr>
      </w:pPr>
      <w:r>
        <w:rPr>
          <w:b/>
          <w:bCs/>
          <w:sz w:val="28"/>
          <w:szCs w:val="28"/>
        </w:rPr>
        <w:t>CORSO D’INQUADRAMENTO PER ARBITRO REGIONALE</w:t>
      </w:r>
    </w:p>
    <w:p>
      <w:pPr>
        <w:pStyle w:val="Normal"/>
        <w:jc w:val="center"/>
        <w:rPr/>
      </w:pPr>
      <w:r>
        <w:rPr/>
        <w:t>e una</w:t>
      </w:r>
    </w:p>
    <w:p>
      <w:pPr>
        <w:pStyle w:val="Normal"/>
        <w:jc w:val="center"/>
        <w:rPr>
          <w:b/>
          <w:b/>
          <w:bCs/>
          <w:sz w:val="28"/>
          <w:szCs w:val="28"/>
        </w:rPr>
      </w:pPr>
      <w:r>
        <w:rPr>
          <w:b/>
          <w:bCs/>
          <w:sz w:val="28"/>
          <w:szCs w:val="28"/>
        </w:rPr>
        <w:t>SESSIONE DI ESAME PER ARBITRO CANDIDATO NAZIONALE</w:t>
      </w:r>
    </w:p>
    <w:p>
      <w:pPr>
        <w:pStyle w:val="Normal"/>
        <w:rPr/>
      </w:pPr>
      <w:r>
        <w:rPr/>
      </w:r>
    </w:p>
    <w:p>
      <w:pPr>
        <w:pStyle w:val="Normal"/>
        <w:rPr/>
      </w:pPr>
      <w:r>
        <w:rPr/>
      </w:r>
    </w:p>
    <w:p>
      <w:pPr>
        <w:pStyle w:val="Normal"/>
        <w:rPr/>
      </w:pPr>
      <w:r>
        <w:rPr/>
        <w:t>Il cors</w:t>
      </w:r>
      <w:r>
        <w:rPr>
          <w:shd w:fill="auto" w:val="clear"/>
        </w:rPr>
        <w:t>o teorico s</w:t>
      </w:r>
      <w:r>
        <w:rPr/>
        <w:t xml:space="preserve">arà tenuto nei giorni 19, 20 e 26 marzo 2022 secondo il programma allegato. </w:t>
      </w:r>
    </w:p>
    <w:p>
      <w:pPr>
        <w:pStyle w:val="Normal"/>
        <w:rPr/>
      </w:pPr>
      <w:r>
        <w:rPr/>
      </w:r>
    </w:p>
    <w:p>
      <w:pPr>
        <w:pStyle w:val="Normal"/>
        <w:rPr/>
      </w:pPr>
      <w:r>
        <w:rPr/>
        <w:t>Il corso prevede un totale di 20 ore di formazione e si svolgerà in presenza presso l’</w:t>
      </w:r>
      <w:r>
        <w:rPr>
          <w:i/>
          <w:iCs/>
        </w:rPr>
        <w:t>A.S.D. Libero Torneificio del Borgo – c/o Bocciofila “La Verdolina”, Via Battista Bena, 10/a – Torino. *</w:t>
      </w:r>
    </w:p>
    <w:p>
      <w:pPr>
        <w:pStyle w:val="Normal"/>
        <w:rPr/>
      </w:pPr>
      <w:r>
        <w:rPr/>
      </w:r>
    </w:p>
    <w:p>
      <w:pPr>
        <w:pStyle w:val="Normal"/>
        <w:rPr/>
      </w:pPr>
      <w:r>
        <w:rPr/>
        <w:t>I relatori e la commissione d’esame sono in fase di definizione e saranno comunicati in seguito ai partecipanti.</w:t>
      </w:r>
    </w:p>
    <w:p>
      <w:pPr>
        <w:pStyle w:val="Normal"/>
        <w:rPr/>
      </w:pPr>
      <w:r>
        <w:rPr/>
      </w:r>
    </w:p>
    <w:p>
      <w:pPr>
        <w:pStyle w:val="Normal"/>
        <w:rPr/>
      </w:pPr>
      <w:r>
        <w:rPr/>
        <w:t>Si precisa che in caso di disposizioni sanitarie che rendessero impossibili gli incontri in presenza, il corso sarà tenuto interamente in modalità online (la piattaforma online utilizzata sarà comunicata in seguito ai partecipanti).</w:t>
      </w:r>
    </w:p>
    <w:p>
      <w:pPr>
        <w:pStyle w:val="Normal"/>
        <w:rPr/>
      </w:pPr>
      <w:r>
        <w:rPr/>
      </w:r>
    </w:p>
    <w:p>
      <w:pPr>
        <w:pStyle w:val="Normal"/>
        <w:rPr>
          <w:shd w:fill="auto" w:val="clear"/>
        </w:rPr>
      </w:pPr>
      <w:r>
        <w:rPr>
          <w:shd w:fill="auto" w:val="clear"/>
        </w:rPr>
        <w:t>Per il corso AR, tra la sessione teorica e gli esami è previsto un addestramento pratico</w:t>
      </w:r>
      <w:bookmarkStart w:id="0" w:name="_GoBack"/>
      <w:bookmarkEnd w:id="0"/>
      <w:r>
        <w:rPr>
          <w:shd w:fill="auto" w:val="clear"/>
        </w:rPr>
        <w:t xml:space="preserve"> sul campo.</w:t>
      </w:r>
    </w:p>
    <w:p>
      <w:pPr>
        <w:pStyle w:val="Normal"/>
        <w:rPr/>
      </w:pPr>
      <w:r>
        <w:rPr/>
      </w:r>
    </w:p>
    <w:p>
      <w:pPr>
        <w:pStyle w:val="Normal"/>
        <w:rPr/>
      </w:pPr>
      <w:r>
        <w:rPr/>
        <w:t xml:space="preserve">La sessione d’esame, sia per i candidati AR che ACN, sarà sabato 21 maggio 2022 nella stessa sede. </w:t>
      </w:r>
    </w:p>
    <w:p>
      <w:pPr>
        <w:pStyle w:val="Normal"/>
        <w:rPr/>
      </w:pPr>
      <w:r>
        <w:rPr/>
        <w:t>L’ammissione agli esami è subordinata alla partecipazione al corso e al previsto addestramento pratico.</w:t>
      </w:r>
    </w:p>
    <w:p>
      <w:pPr>
        <w:pStyle w:val="Normal"/>
        <w:rPr/>
      </w:pPr>
      <w:r>
        <w:rPr/>
      </w:r>
    </w:p>
    <w:p>
      <w:pPr>
        <w:pStyle w:val="Normal"/>
        <w:rPr>
          <w:u w:val="single"/>
        </w:rPr>
      </w:pPr>
      <w:r>
        <w:rPr>
          <w:u w:val="single"/>
        </w:rPr>
        <w:t>Il corso sarà confermato in ba</w:t>
      </w:r>
      <w:r>
        <w:rPr>
          <w:strike/>
          <w:u w:val="single"/>
        </w:rPr>
        <w:t>s</w:t>
      </w:r>
      <w:r>
        <w:rPr>
          <w:u w:val="single"/>
        </w:rPr>
        <w:t xml:space="preserve">e </w:t>
      </w:r>
      <w:r>
        <w:rPr>
          <w:u w:val="single"/>
          <w:shd w:fill="auto" w:val="clear"/>
        </w:rPr>
        <w:t xml:space="preserve">al numero </w:t>
      </w:r>
      <w:r>
        <w:rPr>
          <w:u w:val="single"/>
        </w:rPr>
        <w:t>di partecipanti.</w:t>
      </w:r>
    </w:p>
    <w:p>
      <w:pPr>
        <w:pStyle w:val="Normal"/>
        <w:rPr/>
      </w:pPr>
      <w:r>
        <w:rPr/>
      </w:r>
    </w:p>
    <w:p>
      <w:pPr>
        <w:pStyle w:val="Normal"/>
        <w:rPr/>
      </w:pPr>
      <w:r>
        <w:rPr/>
        <w:t xml:space="preserve">Per prendere parte al </w:t>
      </w:r>
      <w:r>
        <w:rPr>
          <w:u w:val="single"/>
        </w:rPr>
        <w:t>corso per l’inquadramento ad Arbitro Regionale</w:t>
      </w:r>
      <w:r>
        <w:rPr/>
        <w:t xml:space="preserve"> è necessario:</w:t>
      </w:r>
    </w:p>
    <w:p>
      <w:pPr>
        <w:pStyle w:val="Normal"/>
        <w:numPr>
          <w:ilvl w:val="0"/>
          <w:numId w:val="1"/>
        </w:numPr>
        <w:rPr/>
      </w:pPr>
      <w:r>
        <w:rPr/>
        <w:t>avere i seguenti requisiti:</w:t>
      </w:r>
    </w:p>
    <w:p>
      <w:pPr>
        <w:pStyle w:val="Normal"/>
        <w:numPr>
          <w:ilvl w:val="1"/>
          <w:numId w:val="1"/>
        </w:numPr>
        <w:rPr/>
      </w:pPr>
      <w:r>
        <w:rPr/>
        <w:t>essere cittadino italiano;</w:t>
      </w:r>
    </w:p>
    <w:p>
      <w:pPr>
        <w:pStyle w:val="Normal"/>
        <w:numPr>
          <w:ilvl w:val="1"/>
          <w:numId w:val="1"/>
        </w:numPr>
        <w:rPr/>
      </w:pPr>
      <w:r>
        <w:rPr/>
        <w:t>aver compiuto il diciottesimo anno d’età;</w:t>
      </w:r>
    </w:p>
    <w:p>
      <w:pPr>
        <w:pStyle w:val="Normal"/>
        <w:numPr>
          <w:ilvl w:val="1"/>
          <w:numId w:val="1"/>
        </w:numPr>
        <w:rPr/>
      </w:pPr>
      <w:r>
        <w:rPr/>
        <w:t>essere tesserato alla FSI per l’anno in corso;</w:t>
      </w:r>
    </w:p>
    <w:p>
      <w:pPr>
        <w:pStyle w:val="Normal"/>
        <w:numPr>
          <w:ilvl w:val="1"/>
          <w:numId w:val="1"/>
        </w:numPr>
        <w:rPr/>
      </w:pPr>
      <w:r>
        <w:rPr/>
        <w:t>non essere stato respinto ad un analogo esame nell'arco degli ultimi 6 mesi.</w:t>
      </w:r>
    </w:p>
    <w:p>
      <w:pPr>
        <w:pStyle w:val="Normal"/>
        <w:numPr>
          <w:ilvl w:val="0"/>
          <w:numId w:val="1"/>
        </w:numPr>
        <w:rPr/>
      </w:pPr>
      <w:r>
        <w:rPr/>
        <w:t>essere in possesso di green pass o comunque essere in regola con le disposizioni sanitarie in vigore al momento del corso;</w:t>
      </w:r>
    </w:p>
    <w:p>
      <w:pPr>
        <w:pStyle w:val="Normal"/>
        <w:numPr>
          <w:ilvl w:val="0"/>
          <w:numId w:val="1"/>
        </w:numPr>
        <w:rPr/>
      </w:pPr>
      <w:r>
        <w:rPr/>
        <w:t>inviare al Fiduciario d’Area degli arbitri (</w:t>
      </w:r>
      <w:hyperlink r:id="rId3">
        <w:r>
          <w:rPr>
            <w:rStyle w:val="CollegamentoInternet"/>
          </w:rPr>
          <w:t>mdoppio</w:t>
        </w:r>
      </w:hyperlink>
      <w:hyperlink r:id="rId4">
        <w:r>
          <w:rPr>
            <w:rStyle w:val="CollegamentoInternet"/>
          </w:rPr>
          <w:t>@</w:t>
        </w:r>
      </w:hyperlink>
      <w:hyperlink r:id="rId5">
        <w:r>
          <w:rPr>
            <w:rStyle w:val="CollegamentoInternet"/>
          </w:rPr>
          <w:t>gmail</w:t>
        </w:r>
      </w:hyperlink>
      <w:hyperlink r:id="rId6">
        <w:r>
          <w:rPr>
            <w:rStyle w:val="CollegamentoInternet"/>
          </w:rPr>
          <w:t>.</w:t>
        </w:r>
      </w:hyperlink>
      <w:hyperlink r:id="rId7">
        <w:r>
          <w:rPr>
            <w:rStyle w:val="CollegamentoInternet"/>
          </w:rPr>
          <w:t>com</w:t>
        </w:r>
      </w:hyperlink>
      <w:r>
        <w:rPr/>
        <w:t>) l’allegata scheda di iscrizione entro il 27 febbraio 2022;</w:t>
      </w:r>
    </w:p>
    <w:p>
      <w:pPr>
        <w:pStyle w:val="Normal"/>
        <w:numPr>
          <w:ilvl w:val="0"/>
          <w:numId w:val="1"/>
        </w:numPr>
        <w:rPr/>
      </w:pPr>
      <w:r>
        <w:rPr/>
        <w:t xml:space="preserve">versare la quota di iscrizione di 30 € con bonifico bancario intestato a: FSI - Comitato Regionale Piemontese, IBAN: IT35H0100501011000000004002. </w:t>
      </w:r>
    </w:p>
    <w:p>
      <w:pPr>
        <w:pStyle w:val="Normal"/>
        <w:numPr>
          <w:ilvl w:val="0"/>
          <w:numId w:val="0"/>
        </w:numPr>
        <w:ind w:left="720" w:hanging="0"/>
        <w:rPr/>
      </w:pPr>
      <w:r>
        <w:rPr/>
        <w:t xml:space="preserve">Nella causale indicare cognome nome della persona partecipante al corso ed inviare copia del bonifico a </w:t>
      </w:r>
      <w:hyperlink r:id="rId8">
        <w:r>
          <w:rPr>
            <w:rStyle w:val="CollegamentoInternet"/>
          </w:rPr>
          <w:t>presidente@piemontescacchi.org</w:t>
        </w:r>
      </w:hyperlink>
      <w:r>
        <w:rPr/>
        <w:t xml:space="preserve"> ed a </w:t>
      </w:r>
      <w:hyperlink r:id="rId9">
        <w:r>
          <w:rPr>
            <w:rStyle w:val="CollegamentoInternet"/>
          </w:rPr>
          <w:t>mdoppio</w:t>
        </w:r>
      </w:hyperlink>
      <w:hyperlink r:id="rId10">
        <w:r>
          <w:rPr>
            <w:rStyle w:val="CollegamentoInternet"/>
          </w:rPr>
          <w:t>@</w:t>
        </w:r>
      </w:hyperlink>
      <w:hyperlink r:id="rId11">
        <w:r>
          <w:rPr>
            <w:rStyle w:val="CollegamentoInternet"/>
          </w:rPr>
          <w:t>gmail</w:t>
        </w:r>
      </w:hyperlink>
      <w:hyperlink r:id="rId12">
        <w:r>
          <w:rPr>
            <w:rStyle w:val="CollegamentoInternet"/>
          </w:rPr>
          <w:t>.</w:t>
        </w:r>
      </w:hyperlink>
      <w:hyperlink r:id="rId13">
        <w:r>
          <w:rPr>
            <w:rStyle w:val="CollegamentoInternet"/>
          </w:rPr>
          <w:t>com</w:t>
        </w:r>
      </w:hyperlink>
      <w:r>
        <w:rPr/>
        <w:t>.</w:t>
      </w:r>
    </w:p>
    <w:p>
      <w:pPr>
        <w:pStyle w:val="Normal"/>
        <w:rPr/>
      </w:pPr>
      <w:r>
        <w:rPr/>
      </w:r>
    </w:p>
    <w:p>
      <w:pPr>
        <w:pStyle w:val="Normal"/>
        <w:rPr/>
      </w:pPr>
      <w:r>
        <w:rPr>
          <w:i/>
          <w:iCs/>
        </w:rPr>
        <w:t xml:space="preserve">* </w:t>
      </w:r>
      <w:r>
        <w:rPr>
          <w:i/>
          <w:iCs/>
        </w:rPr>
        <w:t>presso la sede del corso è possibile pranzare ad un costo convenzionato di 15 euro per il menù completo.</w:t>
      </w:r>
    </w:p>
    <w:p>
      <w:pPr>
        <w:pStyle w:val="Normal"/>
        <w:rPr/>
      </w:pPr>
      <w:r>
        <w:rPr/>
      </w:r>
    </w:p>
    <w:p>
      <w:pPr>
        <w:pStyle w:val="Normal"/>
        <w:rPr/>
      </w:pPr>
      <w:r>
        <w:rPr>
          <w:b/>
          <w:bCs/>
        </w:rPr>
        <w:t>Il corso è aperto anche agli Arbitri Regionali che intendono sostenere l’esame da Candidato Nazionale o agli Arbitri che abbiano necessità di aggiornamento</w:t>
      </w:r>
      <w:r>
        <w:rPr/>
        <w:t xml:space="preserve">. </w:t>
      </w:r>
    </w:p>
    <w:p>
      <w:pPr>
        <w:pStyle w:val="Normal"/>
        <w:rPr/>
      </w:pPr>
      <w:r>
        <w:rPr/>
        <w:t xml:space="preserve">A fine corso, </w:t>
      </w:r>
      <w:r>
        <w:rPr>
          <w:u w:val="single"/>
        </w:rPr>
        <w:t>esclusivamente</w:t>
      </w:r>
      <w:r>
        <w:rPr>
          <w:u w:val="single"/>
        </w:rPr>
        <w:t xml:space="preserve"> per gli Arbitri Regionali</w:t>
      </w:r>
      <w:r>
        <w:rPr>
          <w:u w:val="none"/>
        </w:rPr>
        <w:t xml:space="preserve">, </w:t>
      </w:r>
      <w:r>
        <w:rPr/>
        <w:t xml:space="preserve">è previsto un test di valutazione per l'ottenimento dei crediti formativi, che potranno </w:t>
      </w:r>
      <w:r>
        <w:rPr/>
        <w:t>anche</w:t>
      </w:r>
      <w:r>
        <w:rPr/>
        <w:t xml:space="preserve"> essere propedeutici al sostenimento dell’esame da Arbitro Candidato Nazionale.</w:t>
      </w:r>
    </w:p>
    <w:p>
      <w:pPr>
        <w:pStyle w:val="Normal"/>
        <w:rPr/>
      </w:pPr>
      <w:r>
        <w:rPr/>
      </w:r>
    </w:p>
    <w:p>
      <w:pPr>
        <w:pStyle w:val="Normal"/>
        <w:rPr/>
      </w:pPr>
      <w:r>
        <w:rPr/>
      </w:r>
    </w:p>
    <w:p>
      <w:pPr>
        <w:pStyle w:val="Normal"/>
        <w:rPr/>
      </w:pPr>
      <w:r>
        <w:rPr/>
        <w:t>Per prendere parte all’esame per Arbitro Candidato Nazionale è necessario:</w:t>
      </w:r>
    </w:p>
    <w:p>
      <w:pPr>
        <w:pStyle w:val="Normal"/>
        <w:numPr>
          <w:ilvl w:val="0"/>
          <w:numId w:val="6"/>
        </w:numPr>
        <w:rPr/>
      </w:pPr>
      <w:r>
        <w:rPr/>
        <w:t>avere i seguenti requisiti:</w:t>
      </w:r>
    </w:p>
    <w:p>
      <w:pPr>
        <w:pStyle w:val="Normal"/>
        <w:numPr>
          <w:ilvl w:val="1"/>
          <w:numId w:val="1"/>
        </w:numPr>
        <w:rPr/>
      </w:pPr>
      <w:r>
        <w:rPr/>
        <w:t>Essere in regola con il tesseramento di arbitro.</w:t>
      </w:r>
    </w:p>
    <w:p>
      <w:pPr>
        <w:pStyle w:val="Normal"/>
        <w:numPr>
          <w:ilvl w:val="1"/>
          <w:numId w:val="1"/>
        </w:numPr>
        <w:rPr/>
      </w:pPr>
      <w:r>
        <w:rPr/>
        <w:t>Aver completato un tirocinio di almeno 2 anni con la qualifica inferiore.</w:t>
      </w:r>
    </w:p>
    <w:p>
      <w:pPr>
        <w:pStyle w:val="Normal"/>
        <w:numPr>
          <w:ilvl w:val="1"/>
          <w:numId w:val="1"/>
        </w:numPr>
        <w:rPr/>
      </w:pPr>
      <w:r>
        <w:rPr/>
        <w:t>Aver assolto l’obbligo di aggiornamento o partecipazione ad un corso di formazione per la qualifica da ottenere. La partecipazione al corso di aggiornamento è da intendersi a partire dall'anno solare che precede la data degli esami.</w:t>
      </w:r>
    </w:p>
    <w:p>
      <w:pPr>
        <w:pStyle w:val="Normal"/>
        <w:numPr>
          <w:ilvl w:val="1"/>
          <w:numId w:val="1"/>
        </w:numPr>
        <w:rPr/>
      </w:pPr>
      <w:r>
        <w:rPr/>
        <w:t>Non essere stato respinto ad un analogo esame nell'arco degli ultimi 6 mesi.</w:t>
      </w:r>
    </w:p>
    <w:p>
      <w:pPr>
        <w:pStyle w:val="Normal"/>
        <w:numPr>
          <w:ilvl w:val="1"/>
          <w:numId w:val="1"/>
        </w:numPr>
        <w:rPr/>
      </w:pPr>
      <w:r>
        <w:rPr/>
        <w:t>Aver arbitrato negli ultimi 4 anni almeno 4 tornei a cadenza rapid o blitz.</w:t>
      </w:r>
    </w:p>
    <w:p>
      <w:pPr>
        <w:pStyle w:val="Normal"/>
        <w:numPr>
          <w:ilvl w:val="1"/>
          <w:numId w:val="1"/>
        </w:numPr>
        <w:rPr/>
      </w:pPr>
      <w:r>
        <w:rPr/>
        <w:t>Aver arbitrato negli ultimi 4 anni almeno 4 tornei validi per l'Elo FIDE standard, di cui almeno 1 negli ultimi 12 mesi.</w:t>
      </w:r>
    </w:p>
    <w:p>
      <w:pPr>
        <w:pStyle w:val="Normal"/>
        <w:numPr>
          <w:ilvl w:val="1"/>
          <w:numId w:val="1"/>
        </w:numPr>
        <w:rPr/>
      </w:pPr>
      <w:r>
        <w:rPr/>
        <w:t>Aver collaborato con relazione favorevole con almeno 2 Arbitri Principali.</w:t>
      </w:r>
    </w:p>
    <w:p>
      <w:pPr>
        <w:pStyle w:val="Normal"/>
        <w:numPr>
          <w:ilvl w:val="0"/>
          <w:numId w:val="1"/>
        </w:numPr>
        <w:rPr/>
      </w:pPr>
      <w:r>
        <w:rPr/>
        <w:t>essere in possesso di green pass o comunque essere in regola con le disposizioni sanitarie in vigore al momento dell’esame;</w:t>
      </w:r>
    </w:p>
    <w:p>
      <w:pPr>
        <w:pStyle w:val="Normal"/>
        <w:numPr>
          <w:ilvl w:val="0"/>
          <w:numId w:val="1"/>
        </w:numPr>
        <w:rPr/>
      </w:pPr>
      <w:r>
        <w:rPr/>
        <w:t>inviare al Fiduciario d’Area degli arbitri (</w:t>
      </w:r>
      <w:hyperlink r:id="rId14">
        <w:r>
          <w:rPr>
            <w:rStyle w:val="CollegamentoInternet"/>
          </w:rPr>
          <w:t>mdoppio</w:t>
        </w:r>
      </w:hyperlink>
      <w:hyperlink r:id="rId15">
        <w:r>
          <w:rPr>
            <w:rStyle w:val="CollegamentoInternet"/>
          </w:rPr>
          <w:t>@</w:t>
        </w:r>
      </w:hyperlink>
      <w:hyperlink r:id="rId16">
        <w:r>
          <w:rPr>
            <w:rStyle w:val="CollegamentoInternet"/>
          </w:rPr>
          <w:t>gmail</w:t>
        </w:r>
      </w:hyperlink>
      <w:hyperlink r:id="rId17">
        <w:r>
          <w:rPr>
            <w:rStyle w:val="CollegamentoInternet"/>
          </w:rPr>
          <w:t>.</w:t>
        </w:r>
      </w:hyperlink>
      <w:hyperlink r:id="rId18">
        <w:r>
          <w:rPr>
            <w:rStyle w:val="CollegamentoInternet"/>
          </w:rPr>
          <w:t>com</w:t>
        </w:r>
      </w:hyperlink>
      <w:r>
        <w:rPr/>
        <w:t>) la richiesta di poter sostenere gli esami per ACN entro il 27 febbraio 2022, con allegati:</w:t>
      </w:r>
    </w:p>
    <w:p>
      <w:pPr>
        <w:pStyle w:val="Normal"/>
        <w:numPr>
          <w:ilvl w:val="1"/>
          <w:numId w:val="1"/>
        </w:numPr>
        <w:rPr/>
      </w:pPr>
      <w:r>
        <w:rPr/>
        <w:t>Nulla osta del Fiduciario di competenza.</w:t>
      </w:r>
    </w:p>
    <w:p>
      <w:pPr>
        <w:pStyle w:val="Normal"/>
        <w:numPr>
          <w:ilvl w:val="1"/>
          <w:numId w:val="1"/>
        </w:numPr>
        <w:rPr/>
      </w:pPr>
      <w:r>
        <w:rPr/>
        <w:t>Curriculum arbitrale, riportante in dettaglio:</w:t>
      </w:r>
    </w:p>
    <w:p>
      <w:pPr>
        <w:pStyle w:val="Normal"/>
        <w:numPr>
          <w:ilvl w:val="2"/>
          <w:numId w:val="1"/>
        </w:numPr>
        <w:rPr/>
      </w:pPr>
      <w:r>
        <w:rPr/>
        <w:t>data delle promozioni ottenute, come da ratifica CAF;</w:t>
      </w:r>
    </w:p>
    <w:p>
      <w:pPr>
        <w:pStyle w:val="Normal"/>
        <w:numPr>
          <w:ilvl w:val="2"/>
          <w:numId w:val="1"/>
        </w:numPr>
        <w:rPr/>
      </w:pPr>
      <w:r>
        <w:rPr/>
        <w:t>nome, data e tipologia delle manifestazioni autorizzate arbitrate (torneo blitz, rapid, Elo FIDE standard);</w:t>
      </w:r>
    </w:p>
    <w:p>
      <w:pPr>
        <w:pStyle w:val="Normal"/>
        <w:numPr>
          <w:ilvl w:val="2"/>
          <w:numId w:val="1"/>
        </w:numPr>
        <w:rPr/>
      </w:pPr>
      <w:r>
        <w:rPr/>
        <w:t>ruolo (Collaboratore o Arbitro Principale);</w:t>
      </w:r>
    </w:p>
    <w:p>
      <w:pPr>
        <w:pStyle w:val="Normal"/>
        <w:numPr>
          <w:ilvl w:val="2"/>
          <w:numId w:val="1"/>
        </w:numPr>
        <w:rPr/>
      </w:pPr>
      <w:r>
        <w:rPr/>
        <w:t>nome dell'Arbitro Principale con cui si è eventualmente collaborato.</w:t>
      </w:r>
    </w:p>
    <w:p>
      <w:pPr>
        <w:pStyle w:val="Normal"/>
        <w:numPr>
          <w:ilvl w:val="1"/>
          <w:numId w:val="1"/>
        </w:numPr>
        <w:rPr/>
      </w:pPr>
      <w:r>
        <w:rPr/>
        <w:t>Copia delle relative designazioni.</w:t>
      </w:r>
    </w:p>
    <w:p>
      <w:pPr>
        <w:pStyle w:val="Normal"/>
        <w:numPr>
          <w:ilvl w:val="1"/>
          <w:numId w:val="1"/>
        </w:numPr>
        <w:rPr/>
      </w:pPr>
      <w:r>
        <w:rPr/>
        <w:t>Copia di tutte le corrispondenti schede arbitrali, firmate dall’Arbitro Principale.</w:t>
      </w:r>
    </w:p>
    <w:p>
      <w:pPr>
        <w:pStyle w:val="Normal"/>
        <w:numPr>
          <w:ilvl w:val="1"/>
          <w:numId w:val="1"/>
        </w:numPr>
        <w:rPr/>
      </w:pPr>
      <w:r>
        <w:rPr/>
        <w:t>Copia di tutti i verbali di gara emessi nei tornei di cui si è stato Arbitro Principale.</w:t>
      </w:r>
    </w:p>
    <w:p>
      <w:pPr>
        <w:pStyle w:val="Normal"/>
        <w:numPr>
          <w:ilvl w:val="1"/>
          <w:numId w:val="1"/>
        </w:numPr>
        <w:rPr/>
      </w:pPr>
      <w:r>
        <w:rPr/>
        <w:t>Eventuali attestati di partecipazione a corsi diversi da quelli di aggiornamento.</w:t>
      </w:r>
    </w:p>
    <w:p>
      <w:pPr>
        <w:pStyle w:val="Normal"/>
        <w:numPr>
          <w:ilvl w:val="1"/>
          <w:numId w:val="1"/>
        </w:numPr>
        <w:rPr/>
      </w:pPr>
      <w:r>
        <w:rPr/>
        <w:t>Preferibilmente tali documenti sono da allegare come scansioni B/N a bassa definizione, possibilmente in formato .pdf.</w:t>
      </w:r>
    </w:p>
    <w:p>
      <w:pPr>
        <w:pStyle w:val="Normal"/>
        <w:numPr>
          <w:ilvl w:val="1"/>
          <w:numId w:val="1"/>
        </w:numPr>
        <w:rPr/>
      </w:pPr>
      <w:r>
        <w:rPr/>
        <w:t>Nella lettera di convocazione del candidato per gli esami saranno indicate le materie su cui verterà la prova.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PROGRAMMA</w:t>
      </w:r>
    </w:p>
    <w:p>
      <w:pPr>
        <w:pStyle w:val="Normal"/>
        <w:rPr/>
      </w:pPr>
      <w:r>
        <w:rPr/>
      </w:r>
    </w:p>
    <w:tbl>
      <w:tblPr>
        <w:tblW w:w="9638" w:type="dxa"/>
        <w:jc w:val="center"/>
        <w:tblInd w:w="0" w:type="dxa"/>
        <w:tblLayout w:type="fixed"/>
        <w:tblCellMar>
          <w:top w:w="28" w:type="dxa"/>
          <w:left w:w="28" w:type="dxa"/>
          <w:bottom w:w="28" w:type="dxa"/>
          <w:right w:w="28" w:type="dxa"/>
        </w:tblCellMar>
        <w:tblLook w:firstRow="0" w:noVBand="0" w:lastRow="0" w:firstColumn="0" w:lastColumn="0" w:noHBand="0" w:val="0000"/>
      </w:tblPr>
      <w:tblGrid>
        <w:gridCol w:w="4366"/>
        <w:gridCol w:w="5271"/>
      </w:tblGrid>
      <w:tr>
        <w:trPr/>
        <w:tc>
          <w:tcPr>
            <w:tcW w:w="4366" w:type="dxa"/>
            <w:tcBorders>
              <w:top w:val="double" w:sz="2" w:space="0" w:color="000000"/>
              <w:left w:val="double" w:sz="2" w:space="0" w:color="000000"/>
              <w:bottom w:val="double" w:sz="2" w:space="0" w:color="000000"/>
            </w:tcBorders>
          </w:tcPr>
          <w:p>
            <w:pPr>
              <w:pStyle w:val="Contenutotabella"/>
              <w:widowControl w:val="false"/>
              <w:jc w:val="center"/>
              <w:rPr>
                <w:sz w:val="22"/>
                <w:szCs w:val="22"/>
              </w:rPr>
            </w:pPr>
            <w:r>
              <w:rPr>
                <w:sz w:val="22"/>
                <w:szCs w:val="22"/>
              </w:rPr>
              <w:t>Sabato 19 marzo 2022 09:30-13:00 (3,5h)</w:t>
            </w:r>
          </w:p>
          <w:p>
            <w:pPr>
              <w:pStyle w:val="Contenutotabella"/>
              <w:widowControl w:val="false"/>
              <w:jc w:val="center"/>
              <w:rPr>
                <w:sz w:val="22"/>
                <w:szCs w:val="22"/>
              </w:rPr>
            </w:pPr>
            <w:r>
              <w:rPr>
                <w:sz w:val="22"/>
                <w:szCs w:val="22"/>
              </w:rPr>
              <w:t xml:space="preserve"> </w:t>
            </w:r>
          </w:p>
        </w:tc>
        <w:tc>
          <w:tcPr>
            <w:tcW w:w="5271" w:type="dxa"/>
            <w:tcBorders>
              <w:top w:val="double" w:sz="2" w:space="0" w:color="000000"/>
              <w:left w:val="double" w:sz="2" w:space="0" w:color="000000"/>
              <w:bottom w:val="double" w:sz="2" w:space="0" w:color="000000"/>
              <w:right w:val="double" w:sz="2" w:space="0" w:color="000000"/>
            </w:tcBorders>
          </w:tcPr>
          <w:p>
            <w:pPr>
              <w:pStyle w:val="Contenutotabella"/>
              <w:widowControl w:val="false"/>
              <w:numPr>
                <w:ilvl w:val="0"/>
                <w:numId w:val="2"/>
              </w:numPr>
              <w:rPr>
                <w:sz w:val="22"/>
                <w:szCs w:val="22"/>
              </w:rPr>
            </w:pPr>
            <w:r>
              <w:rPr>
                <w:sz w:val="22"/>
                <w:szCs w:val="22"/>
              </w:rPr>
              <w:t>Saluto, presentazioni, illustrazione del corso</w:t>
            </w:r>
          </w:p>
          <w:p>
            <w:pPr>
              <w:pStyle w:val="Contenutotabella"/>
              <w:widowControl w:val="false"/>
              <w:numPr>
                <w:ilvl w:val="0"/>
                <w:numId w:val="2"/>
              </w:numPr>
              <w:rPr>
                <w:sz w:val="22"/>
                <w:szCs w:val="22"/>
              </w:rPr>
            </w:pPr>
            <w:r>
              <w:rPr>
                <w:sz w:val="22"/>
                <w:szCs w:val="22"/>
              </w:rPr>
              <w:t>Le Regole FIDE degli scacchi, con particolare riferimento al finale rapido, alle differenze tra cadenze lunghe, rapide e lampo, e relativa casistica ed ai principi dell’anticheating</w:t>
            </w:r>
          </w:p>
          <w:p>
            <w:pPr>
              <w:pStyle w:val="Contenutotabella"/>
              <w:widowControl w:val="false"/>
              <w:ind w:left="720" w:hanging="0"/>
              <w:rPr>
                <w:sz w:val="22"/>
                <w:szCs w:val="22"/>
              </w:rPr>
            </w:pPr>
            <w:r>
              <w:rPr>
                <w:sz w:val="22"/>
                <w:szCs w:val="22"/>
              </w:rPr>
              <w:t>(parte 1)</w:t>
            </w:r>
          </w:p>
        </w:tc>
      </w:tr>
      <w:tr>
        <w:trPr/>
        <w:tc>
          <w:tcPr>
            <w:tcW w:w="4366" w:type="dxa"/>
            <w:tcBorders>
              <w:left w:val="double" w:sz="2" w:space="0" w:color="000000"/>
              <w:bottom w:val="double" w:sz="2" w:space="0" w:color="000000"/>
            </w:tcBorders>
          </w:tcPr>
          <w:p>
            <w:pPr>
              <w:pStyle w:val="Normal"/>
              <w:widowControl w:val="false"/>
              <w:jc w:val="center"/>
              <w:rPr>
                <w:sz w:val="22"/>
                <w:szCs w:val="22"/>
              </w:rPr>
            </w:pPr>
            <w:r>
              <w:rPr>
                <w:sz w:val="22"/>
                <w:szCs w:val="22"/>
              </w:rPr>
              <w:t>Sabato 19 marzo 2022 14.00-17.30 (3,5h)</w:t>
            </w:r>
          </w:p>
          <w:p>
            <w:pPr>
              <w:pStyle w:val="Contenutotabella"/>
              <w:widowControl w:val="false"/>
              <w:jc w:val="center"/>
              <w:rPr>
                <w:sz w:val="22"/>
                <w:szCs w:val="22"/>
              </w:rPr>
            </w:pPr>
            <w:r>
              <w:rPr>
                <w:sz w:val="22"/>
                <w:szCs w:val="22"/>
              </w:rPr>
            </w:r>
          </w:p>
        </w:tc>
        <w:tc>
          <w:tcPr>
            <w:tcW w:w="5271" w:type="dxa"/>
            <w:tcBorders>
              <w:left w:val="double" w:sz="2" w:space="0" w:color="000000"/>
              <w:bottom w:val="double" w:sz="2" w:space="0" w:color="000000"/>
              <w:right w:val="double" w:sz="2" w:space="0" w:color="000000"/>
            </w:tcBorders>
          </w:tcPr>
          <w:p>
            <w:pPr>
              <w:pStyle w:val="Contenutotabella"/>
              <w:widowControl w:val="false"/>
              <w:numPr>
                <w:ilvl w:val="0"/>
                <w:numId w:val="3"/>
              </w:numPr>
              <w:rPr>
                <w:sz w:val="22"/>
                <w:szCs w:val="22"/>
              </w:rPr>
            </w:pPr>
            <w:r>
              <w:rPr>
                <w:sz w:val="22"/>
                <w:szCs w:val="22"/>
              </w:rPr>
              <w:t>Compiti, ruolo, doveri e incompatibilità dell'arbitro: cenni dal Regolamento del Settore Arbitrale.</w:t>
            </w:r>
          </w:p>
          <w:p>
            <w:pPr>
              <w:pStyle w:val="Contenutotabella"/>
              <w:widowControl w:val="false"/>
              <w:numPr>
                <w:ilvl w:val="0"/>
                <w:numId w:val="3"/>
              </w:numPr>
              <w:rPr>
                <w:sz w:val="22"/>
                <w:szCs w:val="22"/>
              </w:rPr>
            </w:pPr>
            <w:r>
              <w:rPr>
                <w:sz w:val="22"/>
                <w:szCs w:val="22"/>
              </w:rPr>
              <w:t>L'orologio da torneo.</w:t>
            </w:r>
          </w:p>
        </w:tc>
      </w:tr>
      <w:tr>
        <w:trPr/>
        <w:tc>
          <w:tcPr>
            <w:tcW w:w="4366" w:type="dxa"/>
            <w:tcBorders>
              <w:left w:val="double" w:sz="2" w:space="0" w:color="000000"/>
              <w:bottom w:val="double" w:sz="2" w:space="0" w:color="000000"/>
            </w:tcBorders>
          </w:tcPr>
          <w:p>
            <w:pPr>
              <w:pStyle w:val="Normal"/>
              <w:widowControl w:val="false"/>
              <w:jc w:val="center"/>
              <w:rPr>
                <w:sz w:val="22"/>
                <w:szCs w:val="22"/>
              </w:rPr>
            </w:pPr>
            <w:r>
              <w:rPr>
                <w:sz w:val="22"/>
                <w:szCs w:val="22"/>
              </w:rPr>
              <w:t>Domenica 20 marzo 2022 09.30-13.00 (3,5h)</w:t>
            </w:r>
          </w:p>
          <w:p>
            <w:pPr>
              <w:pStyle w:val="Contenutotabella"/>
              <w:widowControl w:val="false"/>
              <w:jc w:val="center"/>
              <w:rPr>
                <w:sz w:val="22"/>
                <w:szCs w:val="22"/>
              </w:rPr>
            </w:pPr>
            <w:r>
              <w:rPr>
                <w:sz w:val="22"/>
                <w:szCs w:val="22"/>
              </w:rPr>
            </w:r>
          </w:p>
        </w:tc>
        <w:tc>
          <w:tcPr>
            <w:tcW w:w="5271" w:type="dxa"/>
            <w:tcBorders>
              <w:left w:val="double" w:sz="2" w:space="0" w:color="000000"/>
              <w:bottom w:val="double" w:sz="2" w:space="0" w:color="000000"/>
              <w:right w:val="double" w:sz="2" w:space="0" w:color="000000"/>
            </w:tcBorders>
          </w:tcPr>
          <w:p>
            <w:pPr>
              <w:pStyle w:val="Contenutotabella"/>
              <w:widowControl w:val="false"/>
              <w:numPr>
                <w:ilvl w:val="0"/>
                <w:numId w:val="3"/>
              </w:numPr>
              <w:rPr>
                <w:sz w:val="22"/>
                <w:szCs w:val="22"/>
              </w:rPr>
            </w:pPr>
            <w:r>
              <w:rPr>
                <w:sz w:val="22"/>
                <w:szCs w:val="22"/>
              </w:rPr>
              <w:t>Le Regole FIDE degli scacchi, con particolare riferimento al finale rapido, alle differenze tra cadenze lunghe, rapide e lampo, e relativa casistica ed ai principi dell’anticheating</w:t>
            </w:r>
          </w:p>
          <w:p>
            <w:pPr>
              <w:pStyle w:val="Contenutotabella"/>
              <w:widowControl w:val="false"/>
              <w:numPr>
                <w:ilvl w:val="0"/>
                <w:numId w:val="3"/>
              </w:numPr>
              <w:rPr>
                <w:sz w:val="22"/>
                <w:szCs w:val="22"/>
              </w:rPr>
            </w:pPr>
            <w:r>
              <w:rPr>
                <w:sz w:val="22"/>
                <w:szCs w:val="22"/>
              </w:rPr>
              <w:t>(parte 2)</w:t>
            </w:r>
          </w:p>
        </w:tc>
      </w:tr>
      <w:tr>
        <w:trPr/>
        <w:tc>
          <w:tcPr>
            <w:tcW w:w="4366" w:type="dxa"/>
            <w:tcBorders>
              <w:left w:val="double" w:sz="2" w:space="0" w:color="000000"/>
              <w:bottom w:val="double" w:sz="2" w:space="0" w:color="000000"/>
            </w:tcBorders>
          </w:tcPr>
          <w:p>
            <w:pPr>
              <w:pStyle w:val="Normal"/>
              <w:widowControl w:val="false"/>
              <w:jc w:val="center"/>
              <w:rPr>
                <w:sz w:val="22"/>
                <w:szCs w:val="22"/>
              </w:rPr>
            </w:pPr>
            <w:r>
              <w:rPr>
                <w:sz w:val="22"/>
                <w:szCs w:val="22"/>
              </w:rPr>
              <w:t>Domenica 20 marzo 2022 14.00-17.30 (3,5h)</w:t>
            </w:r>
          </w:p>
          <w:p>
            <w:pPr>
              <w:pStyle w:val="Contenutotabella"/>
              <w:widowControl w:val="false"/>
              <w:jc w:val="center"/>
              <w:rPr>
                <w:sz w:val="22"/>
                <w:szCs w:val="22"/>
              </w:rPr>
            </w:pPr>
            <w:r>
              <w:rPr>
                <w:sz w:val="22"/>
                <w:szCs w:val="22"/>
              </w:rPr>
            </w:r>
          </w:p>
        </w:tc>
        <w:tc>
          <w:tcPr>
            <w:tcW w:w="5271" w:type="dxa"/>
            <w:tcBorders>
              <w:left w:val="double" w:sz="2" w:space="0" w:color="000000"/>
              <w:bottom w:val="double" w:sz="2" w:space="0" w:color="000000"/>
              <w:right w:val="double" w:sz="2" w:space="0" w:color="000000"/>
            </w:tcBorders>
          </w:tcPr>
          <w:p>
            <w:pPr>
              <w:pStyle w:val="Contenutotabella"/>
              <w:widowControl w:val="false"/>
              <w:numPr>
                <w:ilvl w:val="0"/>
                <w:numId w:val="3"/>
              </w:numPr>
              <w:rPr>
                <w:sz w:val="22"/>
                <w:szCs w:val="22"/>
              </w:rPr>
            </w:pPr>
            <w:r>
              <w:rPr>
                <w:sz w:val="22"/>
                <w:szCs w:val="22"/>
              </w:rPr>
              <w:t>Il Regolamento Tecnico Federale</w:t>
            </w:r>
          </w:p>
          <w:p>
            <w:pPr>
              <w:pStyle w:val="Contenutotabella"/>
              <w:widowControl w:val="false"/>
              <w:numPr>
                <w:ilvl w:val="0"/>
                <w:numId w:val="3"/>
              </w:numPr>
              <w:rPr>
                <w:sz w:val="22"/>
                <w:szCs w:val="22"/>
              </w:rPr>
            </w:pPr>
            <w:r>
              <w:rPr>
                <w:sz w:val="22"/>
                <w:szCs w:val="22"/>
              </w:rPr>
              <w:t>Cenni ai programmi informatici di gestione torneo.</w:t>
            </w:r>
          </w:p>
          <w:p>
            <w:pPr>
              <w:pStyle w:val="Contenutotabella"/>
              <w:widowControl w:val="false"/>
              <w:numPr>
                <w:ilvl w:val="0"/>
                <w:numId w:val="3"/>
              </w:numPr>
              <w:rPr>
                <w:sz w:val="22"/>
                <w:szCs w:val="22"/>
              </w:rPr>
            </w:pPr>
            <w:r>
              <w:rPr>
                <w:sz w:val="22"/>
                <w:szCs w:val="22"/>
              </w:rPr>
              <w:t>Regolamento dei Campionati giovanili e dei Tornei Rapid e Lampo.</w:t>
            </w:r>
          </w:p>
          <w:p>
            <w:pPr>
              <w:pStyle w:val="Contenutotabella"/>
              <w:widowControl w:val="false"/>
              <w:numPr>
                <w:ilvl w:val="0"/>
                <w:numId w:val="3"/>
              </w:numPr>
              <w:rPr>
                <w:sz w:val="22"/>
                <w:szCs w:val="22"/>
              </w:rPr>
            </w:pPr>
            <w:r>
              <w:rPr>
                <w:sz w:val="22"/>
                <w:szCs w:val="22"/>
              </w:rPr>
              <w:t>L'orologio da torneo.</w:t>
            </w:r>
          </w:p>
        </w:tc>
      </w:tr>
      <w:tr>
        <w:trPr/>
        <w:tc>
          <w:tcPr>
            <w:tcW w:w="4366" w:type="dxa"/>
            <w:tcBorders>
              <w:left w:val="double" w:sz="2" w:space="0" w:color="000000"/>
              <w:bottom w:val="double" w:sz="2" w:space="0" w:color="000000"/>
            </w:tcBorders>
          </w:tcPr>
          <w:p>
            <w:pPr>
              <w:pStyle w:val="Normal"/>
              <w:widowControl w:val="false"/>
              <w:jc w:val="center"/>
              <w:rPr>
                <w:sz w:val="22"/>
                <w:szCs w:val="22"/>
              </w:rPr>
            </w:pPr>
            <w:r>
              <w:rPr>
                <w:sz w:val="22"/>
                <w:szCs w:val="22"/>
              </w:rPr>
              <w:t>Sabato 26 marzo 2022 09.30-13.00 (3,5h)</w:t>
            </w:r>
          </w:p>
          <w:p>
            <w:pPr>
              <w:pStyle w:val="Contenutotabella"/>
              <w:widowControl w:val="false"/>
              <w:jc w:val="center"/>
              <w:rPr>
                <w:sz w:val="22"/>
                <w:szCs w:val="22"/>
              </w:rPr>
            </w:pPr>
            <w:r>
              <w:rPr>
                <w:sz w:val="22"/>
                <w:szCs w:val="22"/>
              </w:rPr>
            </w:r>
          </w:p>
        </w:tc>
        <w:tc>
          <w:tcPr>
            <w:tcW w:w="5271" w:type="dxa"/>
            <w:tcBorders>
              <w:left w:val="double" w:sz="2" w:space="0" w:color="000000"/>
              <w:bottom w:val="double" w:sz="2" w:space="0" w:color="000000"/>
              <w:right w:val="double" w:sz="2" w:space="0" w:color="000000"/>
            </w:tcBorders>
          </w:tcPr>
          <w:p>
            <w:pPr>
              <w:pStyle w:val="Contenutotabella"/>
              <w:widowControl w:val="false"/>
              <w:numPr>
                <w:ilvl w:val="0"/>
                <w:numId w:val="3"/>
              </w:numPr>
              <w:rPr>
                <w:sz w:val="22"/>
                <w:szCs w:val="22"/>
              </w:rPr>
            </w:pPr>
            <w:r>
              <w:rPr>
                <w:sz w:val="22"/>
                <w:szCs w:val="22"/>
              </w:rPr>
              <w:t>Cenni alle Linee guida FIDE Anticheating per gli Arbitri</w:t>
            </w:r>
          </w:p>
          <w:p>
            <w:pPr>
              <w:pStyle w:val="Contenutotabella"/>
              <w:widowControl w:val="false"/>
              <w:numPr>
                <w:ilvl w:val="0"/>
                <w:numId w:val="3"/>
              </w:numPr>
              <w:rPr>
                <w:sz w:val="22"/>
                <w:szCs w:val="22"/>
              </w:rPr>
            </w:pPr>
            <w:r>
              <w:rPr>
                <w:sz w:val="22"/>
                <w:szCs w:val="22"/>
              </w:rPr>
              <w:t>I sistemi di abbinamento: all'Italiana, Svizzeri con riferimento alle sole regole generali.</w:t>
            </w:r>
          </w:p>
          <w:p>
            <w:pPr>
              <w:pStyle w:val="Contenutotabella"/>
              <w:widowControl w:val="false"/>
              <w:numPr>
                <w:ilvl w:val="0"/>
                <w:numId w:val="3"/>
              </w:numPr>
              <w:rPr>
                <w:sz w:val="22"/>
                <w:szCs w:val="22"/>
              </w:rPr>
            </w:pPr>
            <w:r>
              <w:rPr>
                <w:sz w:val="22"/>
                <w:szCs w:val="22"/>
              </w:rPr>
              <w:t>Sistemi di spareggio tecnico</w:t>
            </w:r>
          </w:p>
          <w:p>
            <w:pPr>
              <w:pStyle w:val="Contenutotabella"/>
              <w:widowControl w:val="false"/>
              <w:numPr>
                <w:ilvl w:val="0"/>
                <w:numId w:val="3"/>
              </w:numPr>
              <w:rPr>
                <w:sz w:val="22"/>
                <w:szCs w:val="22"/>
              </w:rPr>
            </w:pPr>
            <w:r>
              <w:rPr>
                <w:sz w:val="22"/>
                <w:szCs w:val="22"/>
              </w:rPr>
              <w:t>Criteri di designazione.</w:t>
            </w:r>
          </w:p>
        </w:tc>
      </w:tr>
      <w:tr>
        <w:trPr/>
        <w:tc>
          <w:tcPr>
            <w:tcW w:w="4366" w:type="dxa"/>
            <w:tcBorders>
              <w:left w:val="double" w:sz="2" w:space="0" w:color="000000"/>
              <w:bottom w:val="double" w:sz="2" w:space="0" w:color="000000"/>
            </w:tcBorders>
          </w:tcPr>
          <w:p>
            <w:pPr>
              <w:pStyle w:val="Contenutotabella"/>
              <w:widowControl w:val="false"/>
              <w:jc w:val="center"/>
              <w:rPr>
                <w:sz w:val="22"/>
                <w:szCs w:val="22"/>
              </w:rPr>
            </w:pPr>
            <w:r>
              <w:rPr>
                <w:sz w:val="22"/>
                <w:szCs w:val="22"/>
              </w:rPr>
              <w:t>Sabato 26 marzo 2022 14:00-16:30 (2,5h)</w:t>
            </w:r>
          </w:p>
          <w:p>
            <w:pPr>
              <w:pStyle w:val="Contenutotabella"/>
              <w:widowControl w:val="false"/>
              <w:jc w:val="center"/>
              <w:rPr>
                <w:sz w:val="22"/>
                <w:szCs w:val="22"/>
              </w:rPr>
            </w:pPr>
            <w:r>
              <w:rPr>
                <w:sz w:val="22"/>
                <w:szCs w:val="22"/>
              </w:rPr>
            </w:r>
          </w:p>
        </w:tc>
        <w:tc>
          <w:tcPr>
            <w:tcW w:w="5271" w:type="dxa"/>
            <w:tcBorders>
              <w:left w:val="double" w:sz="2" w:space="0" w:color="000000"/>
              <w:bottom w:val="double" w:sz="2" w:space="0" w:color="000000"/>
              <w:right w:val="double" w:sz="2" w:space="0" w:color="000000"/>
            </w:tcBorders>
          </w:tcPr>
          <w:p>
            <w:pPr>
              <w:pStyle w:val="Contenutotabella"/>
              <w:widowControl w:val="false"/>
              <w:numPr>
                <w:ilvl w:val="0"/>
                <w:numId w:val="2"/>
              </w:numPr>
              <w:rPr>
                <w:sz w:val="22"/>
                <w:szCs w:val="22"/>
              </w:rPr>
            </w:pPr>
            <w:r>
              <w:rPr>
                <w:sz w:val="22"/>
                <w:szCs w:val="22"/>
              </w:rPr>
              <w:t>Modalità di omologazione dei tornei giovanili e rapid e relativa modulistica.</w:t>
            </w:r>
          </w:p>
          <w:p>
            <w:pPr>
              <w:pStyle w:val="Contenutotabella"/>
              <w:widowControl w:val="false"/>
              <w:numPr>
                <w:ilvl w:val="0"/>
                <w:numId w:val="2"/>
              </w:numPr>
              <w:rPr>
                <w:sz w:val="22"/>
                <w:szCs w:val="22"/>
              </w:rPr>
            </w:pPr>
            <w:r>
              <w:rPr>
                <w:sz w:val="22"/>
                <w:szCs w:val="22"/>
              </w:rPr>
              <w:t>Le diarie arbitrali.</w:t>
            </w:r>
          </w:p>
          <w:p>
            <w:pPr>
              <w:pStyle w:val="Contenutotabella"/>
              <w:widowControl w:val="false"/>
              <w:numPr>
                <w:ilvl w:val="0"/>
                <w:numId w:val="2"/>
              </w:numPr>
              <w:rPr>
                <w:sz w:val="22"/>
                <w:szCs w:val="22"/>
              </w:rPr>
            </w:pPr>
            <w:r>
              <w:rPr>
                <w:sz w:val="22"/>
                <w:szCs w:val="22"/>
              </w:rPr>
              <w:t>Conclusioni e dibattito.</w:t>
            </w:r>
          </w:p>
        </w:tc>
      </w:tr>
      <w:tr>
        <w:trPr/>
        <w:tc>
          <w:tcPr>
            <w:tcW w:w="4366" w:type="dxa"/>
            <w:tcBorders>
              <w:left w:val="double" w:sz="2" w:space="0" w:color="000000"/>
              <w:bottom w:val="double" w:sz="2" w:space="0" w:color="000000"/>
            </w:tcBorders>
          </w:tcPr>
          <w:p>
            <w:pPr>
              <w:pStyle w:val="Contenutotabella"/>
              <w:widowControl w:val="false"/>
              <w:jc w:val="center"/>
              <w:rPr>
                <w:sz w:val="22"/>
                <w:szCs w:val="22"/>
              </w:rPr>
            </w:pPr>
            <w:r>
              <w:rPr>
                <w:sz w:val="22"/>
                <w:szCs w:val="22"/>
              </w:rPr>
              <w:t>Sabato 26 marzo 2022 16:30-17:00 (30m)</w:t>
            </w:r>
          </w:p>
        </w:tc>
        <w:tc>
          <w:tcPr>
            <w:tcW w:w="5271" w:type="dxa"/>
            <w:tcBorders>
              <w:left w:val="double" w:sz="2" w:space="0" w:color="000000"/>
              <w:bottom w:val="double" w:sz="2" w:space="0" w:color="000000"/>
              <w:right w:val="double" w:sz="2" w:space="0" w:color="000000"/>
            </w:tcBorders>
          </w:tcPr>
          <w:p>
            <w:pPr>
              <w:pStyle w:val="Contenutotabella"/>
              <w:widowControl w:val="false"/>
              <w:numPr>
                <w:ilvl w:val="0"/>
                <w:numId w:val="2"/>
              </w:numPr>
              <w:rPr>
                <w:sz w:val="22"/>
                <w:szCs w:val="22"/>
              </w:rPr>
            </w:pPr>
            <w:r>
              <w:rPr>
                <w:sz w:val="22"/>
                <w:szCs w:val="22"/>
              </w:rPr>
              <w:t>Sessione di esame per il riconoscimento dei crediti formativi</w:t>
            </w:r>
          </w:p>
        </w:tc>
      </w:tr>
      <w:tr>
        <w:trPr/>
        <w:tc>
          <w:tcPr>
            <w:tcW w:w="4366" w:type="dxa"/>
            <w:tcBorders>
              <w:left w:val="double" w:sz="2" w:space="0" w:color="000000"/>
              <w:bottom w:val="double" w:sz="2" w:space="0" w:color="000000"/>
            </w:tcBorders>
          </w:tcPr>
          <w:p>
            <w:pPr>
              <w:pStyle w:val="Contenutotabella"/>
              <w:widowControl w:val="false"/>
              <w:jc w:val="center"/>
              <w:rPr>
                <w:sz w:val="22"/>
                <w:szCs w:val="22"/>
              </w:rPr>
            </w:pPr>
            <w:r>
              <w:rPr>
                <w:sz w:val="22"/>
                <w:szCs w:val="22"/>
              </w:rPr>
              <w:t>Sabato 21 maggio 2022 09:30-12:00 (2,5h)</w:t>
            </w:r>
          </w:p>
        </w:tc>
        <w:tc>
          <w:tcPr>
            <w:tcW w:w="5271" w:type="dxa"/>
            <w:tcBorders>
              <w:left w:val="double" w:sz="2" w:space="0" w:color="000000"/>
              <w:bottom w:val="double" w:sz="2" w:space="0" w:color="000000"/>
              <w:right w:val="double" w:sz="2" w:space="0" w:color="000000"/>
            </w:tcBorders>
          </w:tcPr>
          <w:p>
            <w:pPr>
              <w:pStyle w:val="Contenutotabella"/>
              <w:widowControl w:val="false"/>
              <w:numPr>
                <w:ilvl w:val="0"/>
                <w:numId w:val="2"/>
              </w:numPr>
              <w:rPr>
                <w:sz w:val="22"/>
                <w:szCs w:val="22"/>
              </w:rPr>
            </w:pPr>
            <w:r>
              <w:rPr>
                <w:sz w:val="22"/>
                <w:szCs w:val="22"/>
              </w:rPr>
              <w:t>Sessione di esame AR/ACN: prova scritta</w:t>
            </w:r>
          </w:p>
        </w:tc>
      </w:tr>
      <w:tr>
        <w:trPr/>
        <w:tc>
          <w:tcPr>
            <w:tcW w:w="4366" w:type="dxa"/>
            <w:tcBorders>
              <w:left w:val="double" w:sz="2" w:space="0" w:color="000000"/>
              <w:bottom w:val="double" w:sz="2" w:space="0" w:color="000000"/>
            </w:tcBorders>
          </w:tcPr>
          <w:p>
            <w:pPr>
              <w:pStyle w:val="Contenutotabella"/>
              <w:widowControl w:val="false"/>
              <w:jc w:val="center"/>
              <w:rPr>
                <w:sz w:val="22"/>
                <w:szCs w:val="22"/>
              </w:rPr>
            </w:pPr>
            <w:r>
              <w:rPr>
                <w:sz w:val="22"/>
                <w:szCs w:val="22"/>
              </w:rPr>
              <w:t>Sabato 21 maggio 2022 16:00 a seguire</w:t>
            </w:r>
          </w:p>
        </w:tc>
        <w:tc>
          <w:tcPr>
            <w:tcW w:w="5271" w:type="dxa"/>
            <w:tcBorders>
              <w:left w:val="double" w:sz="2" w:space="0" w:color="000000"/>
              <w:bottom w:val="double" w:sz="2" w:space="0" w:color="000000"/>
              <w:right w:val="double" w:sz="2" w:space="0" w:color="000000"/>
            </w:tcBorders>
          </w:tcPr>
          <w:p>
            <w:pPr>
              <w:pStyle w:val="Contenutotabella"/>
              <w:widowControl w:val="false"/>
              <w:numPr>
                <w:ilvl w:val="0"/>
                <w:numId w:val="2"/>
              </w:numPr>
              <w:rPr>
                <w:sz w:val="22"/>
                <w:szCs w:val="22"/>
              </w:rPr>
            </w:pPr>
            <w:r>
              <w:rPr>
                <w:sz w:val="22"/>
                <w:szCs w:val="22"/>
              </w:rPr>
              <w:t>Sessione di esame AR/ACN: prova orale (per gli ammessi)</w:t>
            </w:r>
          </w:p>
        </w:tc>
      </w:tr>
    </w:tbl>
    <w:p>
      <w:pPr>
        <w:pStyle w:val="Normal"/>
        <w:rPr/>
      </w:pPr>
      <w:r>
        <w:rPr/>
      </w:r>
    </w:p>
    <w:p>
      <w:pPr>
        <w:pStyle w:val="Normal"/>
        <w:rPr/>
      </w:pPr>
      <w:r>
        <w:rPr/>
      </w:r>
    </w:p>
    <w:p>
      <w:pPr>
        <w:pStyle w:val="Normal"/>
        <w:rPr/>
      </w:pPr>
      <w:r>
        <w:rPr/>
        <w:t>Si consiglia di prendere preventiva visione degli argomenti del corso, che sono trattati in modo esauriente sul sito della F.S.I.(www.federscacchi.it) e scaricare sul proprio PC i testi dei Regolamenti trattati (di cui se ne consiglia anche la stampa su carta) e il programma VEGA per la gestione dei tornei.</w:t>
      </w:r>
    </w:p>
    <w:p>
      <w:pPr>
        <w:pStyle w:val="Normal"/>
        <w:rPr/>
      </w:pPr>
      <w:r>
        <w:rPr/>
        <w:t>Una bibliografia completa degli argomenti può essere richiesta al Fiduciario Piemontese.</w:t>
      </w:r>
      <w:r>
        <w:br w:type="page"/>
      </w:r>
    </w:p>
    <w:p>
      <w:pPr>
        <w:pStyle w:val="Normal"/>
        <w:jc w:val="center"/>
        <w:rPr>
          <w:b/>
          <w:b/>
          <w:bCs/>
          <w:u w:val="single"/>
        </w:rPr>
      </w:pPr>
      <w:r>
        <w:rPr/>
      </w:r>
    </w:p>
    <w:p>
      <w:pPr>
        <w:pStyle w:val="Normal"/>
        <w:jc w:val="center"/>
        <w:rPr>
          <w:b/>
          <w:b/>
          <w:bCs/>
          <w:u w:val="single"/>
        </w:rPr>
      </w:pPr>
      <w:r>
        <w:rPr>
          <w:b/>
          <w:bCs/>
          <w:u w:val="single"/>
        </w:rPr>
        <w:t>CORSO PER L’INQUADRAMENTO AD ARBITRO REGIONALE</w:t>
      </w:r>
    </w:p>
    <w:p>
      <w:pPr>
        <w:pStyle w:val="Normal"/>
        <w:jc w:val="center"/>
        <w:rPr/>
      </w:pPr>
      <w:r>
        <w:rPr/>
        <w:t>TORINO 19/20/26 marzo 2022</w:t>
      </w:r>
    </w:p>
    <w:p>
      <w:pPr>
        <w:pStyle w:val="Normal"/>
        <w:rPr/>
      </w:pPr>
      <w:r>
        <w:rPr/>
      </w:r>
    </w:p>
    <w:p>
      <w:pPr>
        <w:pStyle w:val="Normal"/>
        <w:rPr/>
      </w:pPr>
      <w:r>
        <w:rPr/>
      </w:r>
    </w:p>
    <w:p>
      <w:pPr>
        <w:pStyle w:val="Normal"/>
        <w:jc w:val="center"/>
        <w:rPr>
          <w:b/>
          <w:b/>
          <w:bCs/>
        </w:rPr>
      </w:pPr>
      <w:r>
        <w:rPr>
          <w:b/>
          <w:bCs/>
        </w:rPr>
        <w:t>SCHEDA D’ISCRIZIONE (entro il 27 febbraio 2022)</w:t>
      </w:r>
    </w:p>
    <w:p>
      <w:pPr>
        <w:pStyle w:val="Normal"/>
        <w:rPr/>
      </w:pPr>
      <w:r>
        <w:rPr/>
      </w:r>
    </w:p>
    <w:p>
      <w:pPr>
        <w:pStyle w:val="Normal"/>
        <w:rPr/>
      </w:pPr>
      <w:r>
        <w:rPr/>
        <w:t xml:space="preserve">Il sottoscritto …………………………..., nato a ……….…………….. il …………….……… </w:t>
      </w:r>
    </w:p>
    <w:p>
      <w:pPr>
        <w:pStyle w:val="Normal"/>
        <w:rPr/>
      </w:pPr>
      <w:r>
        <w:rPr/>
      </w:r>
    </w:p>
    <w:p>
      <w:pPr>
        <w:pStyle w:val="Normal"/>
        <w:rPr/>
      </w:pPr>
      <w:r>
        <w:rPr/>
        <w:t>residente a ……………………………………………………………………………………….</w:t>
      </w:r>
    </w:p>
    <w:p>
      <w:pPr>
        <w:pStyle w:val="Normal"/>
        <w:rPr>
          <w:sz w:val="20"/>
          <w:szCs w:val="20"/>
        </w:rPr>
      </w:pPr>
      <w:r>
        <w:rPr>
          <w:sz w:val="20"/>
          <w:szCs w:val="20"/>
        </w:rPr>
        <w:tab/>
        <w:tab/>
        <w:tab/>
        <w:tab/>
        <w:t>(c.a.p., Città, Provincia, Via e n.civico)</w:t>
      </w:r>
    </w:p>
    <w:p>
      <w:pPr>
        <w:pStyle w:val="Normal"/>
        <w:rPr/>
      </w:pPr>
      <w:r>
        <w:rPr/>
      </w:r>
    </w:p>
    <w:p>
      <w:pPr>
        <w:pStyle w:val="Normal"/>
        <w:rPr/>
      </w:pPr>
      <w:r>
        <w:rPr/>
        <w:t>telefono e/o cellulare ……………………………………………… email ………….…………</w:t>
      </w:r>
    </w:p>
    <w:p>
      <w:pPr>
        <w:pStyle w:val="Normal"/>
        <w:rPr/>
      </w:pPr>
      <w:r>
        <w:rPr/>
      </w:r>
    </w:p>
    <w:p>
      <w:pPr>
        <w:pStyle w:val="Normal"/>
        <w:rPr/>
      </w:pPr>
      <w:r>
        <w:rPr/>
        <w:t>Tessera F.S.I. n. ……………..…… Lingue conosciute ………………………………………...</w:t>
      </w:r>
    </w:p>
    <w:p>
      <w:pPr>
        <w:pStyle w:val="Normal"/>
        <w:rPr/>
      </w:pPr>
      <w:r>
        <w:rPr/>
      </w:r>
    </w:p>
    <w:p>
      <w:pPr>
        <w:pStyle w:val="Normal"/>
        <w:rPr/>
      </w:pPr>
      <w:r>
        <w:rPr/>
        <w:t>Grado di conoscenza ……………………..………………………………………………….….</w:t>
      </w:r>
    </w:p>
    <w:p>
      <w:pPr>
        <w:pStyle w:val="Normal"/>
        <w:rPr/>
      </w:pPr>
      <w:r>
        <w:rPr/>
      </w:r>
    </w:p>
    <w:p>
      <w:pPr>
        <w:pStyle w:val="Normal"/>
        <w:rPr/>
      </w:pPr>
      <w:r>
        <w:rPr/>
        <w:t>Conoscenza dei regolamenti …………………………….…………………………………...….</w:t>
      </w:r>
    </w:p>
    <w:p>
      <w:pPr>
        <w:pStyle w:val="Normal"/>
        <w:rPr/>
      </w:pPr>
      <w:r>
        <w:rPr/>
      </w:r>
    </w:p>
    <w:p>
      <w:pPr>
        <w:pStyle w:val="Normal"/>
        <w:rPr/>
      </w:pPr>
      <w:r>
        <w:rPr/>
        <w:t>si iscrive al Corso per Arbitri Regionali indicato nel titolo allo scopo di sostenere gli esami di Arbitro Regionale.</w:t>
      </w:r>
    </w:p>
    <w:p>
      <w:pPr>
        <w:pStyle w:val="Normal"/>
        <w:rPr/>
      </w:pPr>
      <w:r>
        <w:rPr/>
        <w:t>Al proposito dichiara:</w:t>
      </w:r>
    </w:p>
    <w:p>
      <w:pPr>
        <w:pStyle w:val="Normal"/>
        <w:rPr/>
      </w:pPr>
      <w:r>
        <w:rPr/>
        <w:tab/>
        <w:t>1. di essere cittadino italiano;</w:t>
      </w:r>
    </w:p>
    <w:p>
      <w:pPr>
        <w:pStyle w:val="Normal"/>
        <w:rPr/>
      </w:pPr>
      <w:r>
        <w:rPr/>
        <w:tab/>
        <w:t xml:space="preserve">2. di non essere assoggettato da parte del CONI o di una Federazione sportiva nazionale a </w:t>
        <w:tab/>
        <w:t>squalifiche o inibizioni complessivamente superiori ad un anno;</w:t>
      </w:r>
    </w:p>
    <w:p>
      <w:pPr>
        <w:pStyle w:val="Normal"/>
        <w:rPr/>
      </w:pPr>
      <w:r>
        <w:rPr/>
        <w:tab/>
        <w:t>3. di essere in possesso della tessera di affiliazione FSI valida per l’anno in corso;</w:t>
      </w:r>
    </w:p>
    <w:p>
      <w:pPr>
        <w:pStyle w:val="Normal"/>
        <w:rPr/>
      </w:pPr>
      <w:r>
        <w:rPr/>
        <w:tab/>
        <w:t>4. di aver compiuto il diciottesimo anno di età.</w:t>
      </w:r>
    </w:p>
    <w:p>
      <w:pPr>
        <w:pStyle w:val="Normal"/>
        <w:rPr/>
      </w:pPr>
      <w:r>
        <w:rPr/>
        <w:tab/>
        <w:t>5. di non essere stato respinto ad un esame analogo negli ultimi 6 mesi.</w:t>
      </w:r>
    </w:p>
    <w:p>
      <w:pPr>
        <w:pStyle w:val="Normal"/>
        <w:rPr/>
      </w:pPr>
      <w:r>
        <w:rPr/>
      </w:r>
    </w:p>
    <w:p>
      <w:pPr>
        <w:pStyle w:val="Normal"/>
        <w:rPr/>
      </w:pPr>
      <w:r>
        <w:rPr/>
        <w:t xml:space="preserve">Conferma di aver effettuato il bonifico di € 30 intestato </w:t>
      </w:r>
      <w:r>
        <w:rPr/>
        <w:t xml:space="preserve">a: </w:t>
      </w:r>
      <w:r>
        <w:rPr/>
        <w:t xml:space="preserve"> </w:t>
      </w:r>
    </w:p>
    <w:p>
      <w:pPr>
        <w:pStyle w:val="Normal"/>
        <w:rPr/>
      </w:pPr>
      <w:r>
        <w:rPr/>
      </w:r>
    </w:p>
    <w:p>
      <w:pPr>
        <w:pStyle w:val="Normal"/>
        <w:rPr/>
      </w:pPr>
      <w:r>
        <w:rPr/>
        <w:t>FSI - Comitato Regionale Piemontese</w:t>
      </w:r>
    </w:p>
    <w:p>
      <w:pPr>
        <w:pStyle w:val="Normal"/>
        <w:rPr/>
      </w:pPr>
      <w:r>
        <w:rPr/>
        <w:t>IBAN: IT35H0100501011000000004002.</w:t>
      </w:r>
    </w:p>
    <w:p>
      <w:pPr>
        <w:pStyle w:val="Normal"/>
        <w:rPr/>
      </w:pPr>
      <w:r>
        <w:rPr/>
      </w:r>
    </w:p>
    <w:p>
      <w:pPr>
        <w:pStyle w:val="Normal"/>
        <w:rPr/>
      </w:pPr>
      <w:r>
        <w:rPr/>
      </w:r>
    </w:p>
    <w:p>
      <w:pPr>
        <w:pStyle w:val="Normal"/>
        <w:rPr/>
      </w:pPr>
      <w:r>
        <w:rPr/>
        <w:t>data ……………………… (firma)………………………………………………………….</w:t>
      </w:r>
    </w:p>
    <w:p>
      <w:pPr>
        <w:pStyle w:val="Normal"/>
        <w:rPr/>
      </w:pPr>
      <w:r>
        <w:rPr/>
      </w:r>
    </w:p>
    <w:p>
      <w:pPr>
        <w:pStyle w:val="Normal"/>
        <w:rPr>
          <w:i/>
          <w:i/>
          <w:iCs/>
        </w:rPr>
      </w:pPr>
      <w:r>
        <w:rPr>
          <w:i/>
          <w:iCs/>
        </w:rPr>
      </w:r>
    </w:p>
    <w:p>
      <w:pPr>
        <w:pStyle w:val="Normal"/>
        <w:rPr>
          <w:i/>
          <w:i/>
          <w:iCs/>
        </w:rPr>
      </w:pPr>
      <w:r>
        <w:rPr>
          <w:i/>
          <w:iCs/>
        </w:rPr>
        <w:t>I dati saranno trattati nel rispetto della legge 196/2003 ed utilizzati esclusivamente per fini istituzionali della Federazione Scacchistica Italiana, del Comitato Regionale Scacchi Piemon</w:t>
      </w:r>
      <w:r>
        <w:rPr>
          <w:i/>
          <w:iCs/>
        </w:rPr>
        <w:t>t</w:t>
      </w:r>
      <w:r>
        <w:rPr>
          <w:i/>
          <w:iCs/>
        </w:rPr>
        <w:t>e e della Commissione Arbitrale Federale.</w:t>
      </w:r>
    </w:p>
    <w:p>
      <w:pPr>
        <w:pStyle w:val="Normal"/>
        <w:rPr>
          <w:i/>
          <w:i/>
          <w:iCs/>
        </w:rPr>
      </w:pPr>
      <w:r>
        <w:rPr>
          <w:i/>
          <w:iCs/>
        </w:rPr>
        <w:t>Il presente modulo, completato e firmato, dovrà essere inviato via email all’indirizzo mdoppio@gmail entro il 27 febbraio 2022 e consegnato in originale all’inizio del corso, unitamente all’evidenza del versamento della quota di iscrizione.</w:t>
      </w:r>
    </w:p>
    <w:sectPr>
      <w:headerReference w:type="default" r:id="rId19"/>
      <w:type w:val="nextPage"/>
      <w:pgSz w:w="11906" w:h="16838"/>
      <w:pgMar w:left="1134" w:right="1134" w:header="1134" w:top="2531"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0" allowOverlap="1" relativeHeight="5">
          <wp:simplePos x="0" y="0"/>
          <wp:positionH relativeFrom="column">
            <wp:posOffset>5273675</wp:posOffset>
          </wp:positionH>
          <wp:positionV relativeFrom="paragraph">
            <wp:posOffset>9525</wp:posOffset>
          </wp:positionV>
          <wp:extent cx="841375" cy="584200"/>
          <wp:effectExtent l="0" t="0" r="0" b="0"/>
          <wp:wrapNone/>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1"/>
                  <a:srcRect l="-107" t="-151" r="-107" b="-151"/>
                  <a:stretch>
                    <a:fillRect/>
                  </a:stretch>
                </pic:blipFill>
                <pic:spPr bwMode="auto">
                  <a:xfrm>
                    <a:off x="0" y="0"/>
                    <a:ext cx="841375" cy="584200"/>
                  </a:xfrm>
                  <a:prstGeom prst="rect">
                    <a:avLst/>
                  </a:prstGeom>
                </pic:spPr>
              </pic:pic>
            </a:graphicData>
          </a:graphic>
        </wp:anchor>
      </w:drawing>
      <w:drawing>
        <wp:inline distT="0" distB="0" distL="0" distR="0">
          <wp:extent cx="798830" cy="528955"/>
          <wp:effectExtent l="0" t="0" r="0" b="0"/>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2"/>
                  <a:srcRect l="-19" t="-29" r="-19" b="-29"/>
                  <a:stretch>
                    <a:fillRect/>
                  </a:stretch>
                </pic:blipFill>
                <pic:spPr bwMode="auto">
                  <a:xfrm>
                    <a:off x="0" y="0"/>
                    <a:ext cx="798830" cy="528955"/>
                  </a:xfrm>
                  <a:prstGeom prst="rect">
                    <a:avLst/>
                  </a:prstGeom>
                </pic:spPr>
              </pic:pic>
            </a:graphicData>
          </a:graphic>
        </wp:inline>
      </w:drawing>
    </w:r>
    <w:r>
      <w:drawing>
        <wp:anchor behindDoc="0" distT="0" distB="0" distL="0" distR="0" simplePos="0" locked="0" layoutInCell="0" allowOverlap="1" relativeHeight="9">
          <wp:simplePos x="0" y="0"/>
          <wp:positionH relativeFrom="column">
            <wp:posOffset>2393315</wp:posOffset>
          </wp:positionH>
          <wp:positionV relativeFrom="paragraph">
            <wp:posOffset>-201930</wp:posOffset>
          </wp:positionV>
          <wp:extent cx="952500" cy="952500"/>
          <wp:effectExtent l="0" t="0" r="0" b="0"/>
          <wp:wrapSquare wrapText="largest"/>
          <wp:docPr id="4"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pic:cNvPicPr>
                    <a:picLocks noChangeAspect="1" noChangeArrowheads="1"/>
                  </pic:cNvPicPr>
                </pic:nvPicPr>
                <pic:blipFill>
                  <a:blip r:embed="rId3"/>
                  <a:stretch>
                    <a:fillRect/>
                  </a:stretch>
                </pic:blipFill>
                <pic:spPr bwMode="auto">
                  <a:xfrm>
                    <a:off x="0" y="0"/>
                    <a:ext cx="952500" cy="952500"/>
                  </a:xfrm>
                  <a:prstGeom prst="rect">
                    <a:avLst/>
                  </a:prstGeom>
                </pic:spPr>
              </pic:pic>
            </a:graphicData>
          </a:graphic>
        </wp:anchor>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0">
      <w:startOverride w:val="1"/>
    </w:lvlOverride>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character" w:styleId="DefaultParagraphFont" w:default="1">
    <w:name w:val="Default Paragraph Font"/>
    <w:uiPriority w:val="1"/>
    <w:semiHidden/>
    <w:unhideWhenUsed/>
    <w:qFormat/>
    <w:rPr/>
  </w:style>
  <w:style w:type="character" w:styleId="Caratteridinumerazione" w:customStyle="1">
    <w:name w:val="Caratteri di numerazione"/>
    <w:qFormat/>
    <w:rPr/>
  </w:style>
  <w:style w:type="character" w:styleId="CollegamentoInternet" w:customStyle="1">
    <w:name w:val="Collegamento Internet"/>
    <w:rPr>
      <w:color w:val="000080"/>
      <w:u w:val="single"/>
    </w:rPr>
  </w:style>
  <w:style w:type="character" w:styleId="Punti" w:customStyle="1">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Intestazioneepidipagina" w:customStyle="1">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Intestazioneepidipagina"/>
    <w:pPr/>
    <w:rPr/>
  </w:style>
  <w:style w:type="paragraph" w:styleId="Contenutotabella" w:customStyle="1">
    <w:name w:val="Contenuto tabella"/>
    <w:basedOn w:val="Normal"/>
    <w:qFormat/>
    <w:pPr>
      <w:widowControl w:val="false"/>
      <w:suppressLineNumbers/>
    </w:pPr>
    <w:rPr/>
  </w:style>
  <w:style w:type="paragraph" w:styleId="Default" w:customStyle="1">
    <w:name w:val="Default"/>
    <w:qFormat/>
    <w:pPr>
      <w:widowControl/>
      <w:suppressAutoHyphens w:val="true"/>
      <w:bidi w:val="0"/>
      <w:spacing w:before="0" w:after="0"/>
      <w:jc w:val="left"/>
    </w:pPr>
    <w:rPr>
      <w:rFonts w:ascii="Arial" w:hAnsi="Arial" w:eastAsia="NSimSun" w:cs="Lucida Sans"/>
      <w:color w:val="000000"/>
      <w:kern w:val="2"/>
      <w:sz w:val="24"/>
      <w:szCs w:val="24"/>
      <w:lang w:val="it-IT" w:eastAsia="zh-CN" w:bidi="hi-IN"/>
    </w:rPr>
  </w:style>
  <w:style w:type="paragraph" w:styleId="Titolotabella" w:customStyle="1">
    <w:name w:val="Titolo tabella"/>
    <w:basedOn w:val="Contenutotabella"/>
    <w:qFormat/>
    <w:pPr>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mdoppio@gmail.com" TargetMode="External"/><Relationship Id="rId4" Type="http://schemas.openxmlformats.org/officeDocument/2006/relationships/hyperlink" Target="mailto:mdoppio@gmail.com" TargetMode="External"/><Relationship Id="rId5" Type="http://schemas.openxmlformats.org/officeDocument/2006/relationships/hyperlink" Target="mailto:mdoppio@gmail.com" TargetMode="External"/><Relationship Id="rId6" Type="http://schemas.openxmlformats.org/officeDocument/2006/relationships/hyperlink" Target="mailto:mdoppio@gmail.com" TargetMode="External"/><Relationship Id="rId7" Type="http://schemas.openxmlformats.org/officeDocument/2006/relationships/hyperlink" Target="mailto:mdoppio@gmail.com" TargetMode="External"/><Relationship Id="rId8" Type="http://schemas.openxmlformats.org/officeDocument/2006/relationships/hyperlink" Target="mailto:presidente@piemontescacchi.org" TargetMode="External"/><Relationship Id="rId9" Type="http://schemas.openxmlformats.org/officeDocument/2006/relationships/hyperlink" Target="mailto:mdoppio@gmail.com" TargetMode="External"/><Relationship Id="rId10" Type="http://schemas.openxmlformats.org/officeDocument/2006/relationships/hyperlink" Target="mailto:mdoppio@gmail.com" TargetMode="External"/><Relationship Id="rId11" Type="http://schemas.openxmlformats.org/officeDocument/2006/relationships/hyperlink" Target="mailto:mdoppio@gmail.com" TargetMode="External"/><Relationship Id="rId12" Type="http://schemas.openxmlformats.org/officeDocument/2006/relationships/hyperlink" Target="mailto:mdoppio@gmail.com" TargetMode="External"/><Relationship Id="rId13" Type="http://schemas.openxmlformats.org/officeDocument/2006/relationships/hyperlink" Target="mailto:mdoppio@gmail.com" TargetMode="External"/><Relationship Id="rId14" Type="http://schemas.openxmlformats.org/officeDocument/2006/relationships/hyperlink" Target="mailto:mdoppio@gmail.com" TargetMode="External"/><Relationship Id="rId15" Type="http://schemas.openxmlformats.org/officeDocument/2006/relationships/hyperlink" Target="mailto:mdoppio@gmail.com" TargetMode="External"/><Relationship Id="rId16" Type="http://schemas.openxmlformats.org/officeDocument/2006/relationships/hyperlink" Target="mailto:mdoppio@gmail.com" TargetMode="External"/><Relationship Id="rId17" Type="http://schemas.openxmlformats.org/officeDocument/2006/relationships/hyperlink" Target="mailto:mdoppio@gmail.com" TargetMode="External"/><Relationship Id="rId18" Type="http://schemas.openxmlformats.org/officeDocument/2006/relationships/hyperlink" Target="mailto:mdoppio@gmail.com" TargetMode="External"/><Relationship Id="rId19" Type="http://schemas.openxmlformats.org/officeDocument/2006/relationships/header" Target="header1.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wmf"/><Relationship Id="rId3" Type="http://schemas.openxmlformats.org/officeDocument/2006/relationships/image" Target="media/image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LibreOffice/7.1.8.1$Windows_X86_64 LibreOffice_project/e1f30c802c3269a1d052614453f260e49458c82c</Application>
  <AppVersion>15.0000</AppVersion>
  <Pages>4</Pages>
  <Words>1248</Words>
  <Characters>7117</Characters>
  <CharactersWithSpaces>8242</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2022-01-27T21:48:00Z</dcterms:created>
  <dc:creator>XXX</dc:creator>
  <dc:description/>
  <dc:language>it-IT</dc:language>
  <cp:lastModifiedBy/>
  <dcterms:modified xsi:type="dcterms:W3CDTF">2022-01-29T20:39:28Z</dcterms:modified>
  <cp:revision>11</cp:revision>
  <dc:subject/>
  <dc:title>Spett</dc:title>
</cp:coreProperties>
</file>

<file path=docProps/custom.xml><?xml version="1.0" encoding="utf-8"?>
<Properties xmlns="http://schemas.openxmlformats.org/officeDocument/2006/custom-properties" xmlns:vt="http://schemas.openxmlformats.org/officeDocument/2006/docPropsVTypes"/>
</file>